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2ABE25" w14:textId="598D43CA" w:rsidR="00F85DFD" w:rsidRPr="00523824" w:rsidRDefault="00085C75" w:rsidP="003204AA">
      <w:pPr>
        <w:pStyle w:val="MBT"/>
        <w:rPr>
          <w:rFonts w:eastAsia="Calibri"/>
          <w:lang w:val="en-GB"/>
        </w:rPr>
        <w:sectPr w:rsidR="00F85DFD" w:rsidRPr="00523824" w:rsidSect="00351E21">
          <w:footerReference w:type="first" r:id="rId8"/>
          <w:type w:val="continuous"/>
          <w:pgSz w:w="11906" w:h="16838" w:code="9"/>
          <w:pgMar w:top="720" w:right="720" w:bottom="720" w:left="720" w:header="709" w:footer="709" w:gutter="0"/>
          <w:cols w:space="708"/>
          <w:docGrid w:linePitch="360"/>
        </w:sectPr>
      </w:pPr>
      <w:r w:rsidRPr="00523824">
        <w:rPr>
          <w:rFonts w:eastAsia="Calibri"/>
          <w:noProof/>
          <w:lang w:eastAsia="en-US"/>
        </w:rPr>
        <mc:AlternateContent>
          <mc:Choice Requires="wpg">
            <w:drawing>
              <wp:anchor distT="0" distB="0" distL="114300" distR="114300" simplePos="0" relativeHeight="251665920" behindDoc="0" locked="0" layoutInCell="1" allowOverlap="1" wp14:anchorId="7CC6D35A" wp14:editId="7B24130F">
                <wp:simplePos x="0" y="0"/>
                <wp:positionH relativeFrom="column">
                  <wp:posOffset>628650</wp:posOffset>
                </wp:positionH>
                <wp:positionV relativeFrom="paragraph">
                  <wp:posOffset>76200</wp:posOffset>
                </wp:positionV>
                <wp:extent cx="6144039" cy="4363299"/>
                <wp:effectExtent l="0" t="0" r="28575" b="0"/>
                <wp:wrapNone/>
                <wp:docPr id="25" name="Group 25"/>
                <wp:cNvGraphicFramePr/>
                <a:graphic xmlns:a="http://schemas.openxmlformats.org/drawingml/2006/main">
                  <a:graphicData uri="http://schemas.microsoft.com/office/word/2010/wordprocessingGroup">
                    <wpg:wgp>
                      <wpg:cNvGrpSpPr/>
                      <wpg:grpSpPr>
                        <a:xfrm>
                          <a:off x="0" y="0"/>
                          <a:ext cx="6144039" cy="4363299"/>
                          <a:chOff x="-824616" y="0"/>
                          <a:chExt cx="6144039" cy="4363299"/>
                        </a:xfrm>
                      </wpg:grpSpPr>
                      <wps:wsp>
                        <wps:cNvPr id="18" name="Straight Connector 5"/>
                        <wps:cNvCnPr>
                          <a:cxnSpLocks noChangeShapeType="1"/>
                        </wps:cNvCnPr>
                        <wps:spPr bwMode="auto">
                          <a:xfrm flipV="1">
                            <a:off x="5319423" y="39757"/>
                            <a:ext cx="0" cy="2825262"/>
                          </a:xfrm>
                          <a:prstGeom prst="line">
                            <a:avLst/>
                          </a:prstGeom>
                          <a:noFill/>
                          <a:ln w="38100" algn="ctr">
                            <a:solidFill>
                              <a:schemeClr val="tx2"/>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19" name="Text Box 6"/>
                        <wps:cNvSpPr txBox="1">
                          <a:spLocks noChangeArrowheads="1"/>
                        </wps:cNvSpPr>
                        <wps:spPr bwMode="auto">
                          <a:xfrm>
                            <a:off x="-824616" y="0"/>
                            <a:ext cx="5881334" cy="2464758"/>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6ACA8A0" w14:textId="77777777" w:rsidR="00894CB7" w:rsidRPr="00590213" w:rsidRDefault="00894CB7"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7623AAF4" w14:textId="0EBF9465" w:rsidR="00894CB7" w:rsidRPr="00B35152" w:rsidRDefault="00894CB7" w:rsidP="00A57A4A">
                              <w:pPr>
                                <w:jc w:val="right"/>
                                <w:rPr>
                                  <w:rFonts w:ascii="Century Gothic" w:hAnsi="Century Gothic"/>
                                  <w:b/>
                                  <w:sz w:val="48"/>
                                  <w:szCs w:val="56"/>
                                  <w:lang w:val="en-GB"/>
                                </w:rPr>
                              </w:pPr>
                            </w:p>
                          </w:txbxContent>
                        </wps:txbx>
                        <wps:bodyPr rot="0" vert="horz" wrap="square" lIns="91440" tIns="45720" rIns="91440" bIns="45720" anchor="t" anchorCtr="0" upright="1">
                          <a:noAutofit/>
                        </wps:bodyPr>
                      </wps:wsp>
                      <wps:wsp>
                        <wps:cNvPr id="20" name="Text Box 7"/>
                        <wps:cNvSpPr txBox="1">
                          <a:spLocks noChangeArrowheads="1"/>
                        </wps:cNvSpPr>
                        <wps:spPr bwMode="auto">
                          <a:xfrm>
                            <a:off x="-824616" y="2464420"/>
                            <a:ext cx="5883794" cy="108840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770ED0" w14:textId="4AAFB1C8" w:rsidR="00894CB7" w:rsidRPr="00590213" w:rsidRDefault="00894CB7"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w:t>
                              </w:r>
                              <w:r>
                                <w:rPr>
                                  <w:rFonts w:ascii="Century Gothic" w:hAnsi="Century Gothic"/>
                                  <w:b/>
                                  <w:i/>
                                  <w:sz w:val="48"/>
                                  <w:szCs w:val="48"/>
                                  <w:lang w:val="en-GB"/>
                                </w:rPr>
                                <w:t>I</w:t>
                              </w:r>
                              <w:r w:rsidRPr="00590213">
                                <w:rPr>
                                  <w:rFonts w:ascii="Century Gothic" w:hAnsi="Century Gothic"/>
                                  <w:b/>
                                  <w:i/>
                                  <w:sz w:val="48"/>
                                  <w:szCs w:val="48"/>
                                  <w:lang w:val="en-GB"/>
                                </w:rPr>
                                <w:t xml:space="preserve"> Investors’ </w:t>
                              </w:r>
                              <w:r>
                                <w:rPr>
                                  <w:rFonts w:ascii="Century Gothic" w:hAnsi="Century Gothic"/>
                                  <w:b/>
                                  <w:i/>
                                  <w:sz w:val="48"/>
                                  <w:szCs w:val="48"/>
                                  <w:lang w:val="en-GB"/>
                                </w:rPr>
                                <w:t>Residence Schemes in Malta</w:t>
                              </w:r>
                            </w:p>
                          </w:txbxContent>
                        </wps:txbx>
                        <wps:bodyPr rot="0" vert="horz" wrap="square" lIns="91440" tIns="45720" rIns="91440" bIns="45720" anchor="t" anchorCtr="0" upright="1">
                          <a:noAutofit/>
                        </wps:bodyPr>
                      </wps:wsp>
                      <wps:wsp>
                        <wps:cNvPr id="24" name="Text Box 7"/>
                        <wps:cNvSpPr txBox="1">
                          <a:spLocks noChangeArrowheads="1"/>
                        </wps:cNvSpPr>
                        <wps:spPr bwMode="auto">
                          <a:xfrm>
                            <a:off x="243177" y="3840729"/>
                            <a:ext cx="4884779" cy="52257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0EA8EA" w14:textId="77777777" w:rsidR="00894CB7" w:rsidRPr="001D7DA5" w:rsidRDefault="00894CB7" w:rsidP="001D7DA5">
                              <w:pPr>
                                <w:jc w:val="right"/>
                                <w:rPr>
                                  <w:rFonts w:ascii="Century Gothic" w:hAnsi="Century Gothic"/>
                                  <w:bCs/>
                                  <w:i/>
                                  <w:lang w:val="en-GB"/>
                                </w:rPr>
                              </w:pPr>
                              <w:r w:rsidRPr="001D7DA5">
                                <w:rPr>
                                  <w:rFonts w:ascii="Century Gothic" w:hAnsi="Century Gothic"/>
                                  <w:bCs/>
                                  <w:i/>
                                  <w:lang w:val="en-GB"/>
                                </w:rPr>
                                <w:t>JUST/2016/RCIT/FW/RIGH/0152 (2017/06)</w:t>
                              </w:r>
                            </w:p>
                            <w:p w14:paraId="38520893" w14:textId="4733AF47" w:rsidR="00894CB7" w:rsidRPr="00BB78FE" w:rsidRDefault="00894CB7" w:rsidP="008652C9">
                              <w:pPr>
                                <w:jc w:val="right"/>
                                <w:rPr>
                                  <w:rFonts w:ascii="Century Gothic" w:hAnsi="Century Gothic"/>
                                  <w:i/>
                                  <w:lang w:val="en-GB"/>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CC6D35A" id="Group 25" o:spid="_x0000_s1026" style="position:absolute;left:0;text-align:left;margin-left:49.5pt;margin-top:6pt;width:483.8pt;height:343.55pt;z-index:251665920;mso-width-relative:margin;mso-height-relative:margin" coordorigin="-8246" coordsize="61440,436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">
                <v:line id="Straight Connector 5" o:spid="_x0000_s1027" style="position:absolute;flip:y;visibility:visible;mso-wrap-style:square" from="53194,397" to="53194,286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" strokecolor="#7ab800 [3215]" strokeweight="3pt"/>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" stroked="f">
                  <v:textbox>
                    <w:txbxContent>
                      <w:p w14:paraId="66ACA8A0" w14:textId="77777777" w:rsidR="00894CB7" w:rsidRPr="00590213" w:rsidRDefault="00894CB7"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7623AAF4" w14:textId="0EBF9465" w:rsidR="00894CB7" w:rsidRPr="00B35152" w:rsidRDefault="00894CB7" w:rsidP="00A57A4A">
                        <w:pPr>
                          <w:jc w:val="right"/>
                          <w:rPr>
                            <w:rFonts w:ascii="Century Gothic" w:hAnsi="Century Gothic"/>
                            <w:b/>
                            <w:sz w:val="48"/>
                            <w:szCs w:val="56"/>
                            <w:lang w:val="en-GB"/>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" stroked="f">
                  <v:textbox>
                    <w:txbxContent>
                      <w:p w14:paraId="62770ED0" w14:textId="4AAFB1C8" w:rsidR="00894CB7" w:rsidRPr="00590213" w:rsidRDefault="00894CB7"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w:t>
                        </w:r>
                        <w:r>
                          <w:rPr>
                            <w:rFonts w:ascii="Century Gothic" w:hAnsi="Century Gothic"/>
                            <w:b/>
                            <w:i/>
                            <w:sz w:val="48"/>
                            <w:szCs w:val="48"/>
                            <w:lang w:val="en-GB"/>
                          </w:rPr>
                          <w:t>I</w:t>
                        </w:r>
                        <w:r w:rsidRPr="00590213">
                          <w:rPr>
                            <w:rFonts w:ascii="Century Gothic" w:hAnsi="Century Gothic"/>
                            <w:b/>
                            <w:i/>
                            <w:sz w:val="48"/>
                            <w:szCs w:val="48"/>
                            <w:lang w:val="en-GB"/>
                          </w:rPr>
                          <w:t xml:space="preserve"> Investors’ </w:t>
                        </w:r>
                        <w:r>
                          <w:rPr>
                            <w:rFonts w:ascii="Century Gothic" w:hAnsi="Century Gothic"/>
                            <w:b/>
                            <w:i/>
                            <w:sz w:val="48"/>
                            <w:szCs w:val="48"/>
                            <w:lang w:val="en-GB"/>
                          </w:rPr>
                          <w:t>Residence Schemes in Malta</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" stroked="f">
                  <v:textbox>
                    <w:txbxContent>
                      <w:p w14:paraId="030EA8EA" w14:textId="77777777" w:rsidR="00894CB7" w:rsidRPr="001D7DA5" w:rsidRDefault="00894CB7" w:rsidP="001D7DA5">
                        <w:pPr>
                          <w:jc w:val="right"/>
                          <w:rPr>
                            <w:rFonts w:ascii="Century Gothic" w:hAnsi="Century Gothic"/>
                            <w:bCs/>
                            <w:i/>
                            <w:lang w:val="en-GB"/>
                          </w:rPr>
                        </w:pPr>
                        <w:r w:rsidRPr="001D7DA5">
                          <w:rPr>
                            <w:rFonts w:ascii="Century Gothic" w:hAnsi="Century Gothic"/>
                            <w:bCs/>
                            <w:i/>
                            <w:lang w:val="en-GB"/>
                          </w:rPr>
                          <w:t>JUST/2016/RCIT/FW/RIGH/0152 (2017/06)</w:t>
                        </w:r>
                      </w:p>
                      <w:p w14:paraId="38520893" w14:textId="4733AF47" w:rsidR="00894CB7" w:rsidRPr="00BB78FE" w:rsidRDefault="00894CB7" w:rsidP="008652C9">
                        <w:pPr>
                          <w:jc w:val="right"/>
                          <w:rPr>
                            <w:rFonts w:ascii="Century Gothic" w:hAnsi="Century Gothic"/>
                            <w:i/>
                            <w:lang w:val="en-GB"/>
                          </w:rPr>
                        </w:pPr>
                      </w:p>
                    </w:txbxContent>
                  </v:textbox>
                </v:shape>
              </v:group>
            </w:pict>
          </mc:Fallback>
        </mc:AlternateContent>
      </w:r>
      <w:r w:rsidR="006366BB" w:rsidRPr="00523824">
        <w:rPr>
          <w:rFonts w:eastAsia="Calibri"/>
          <w:noProof/>
          <w:lang w:eastAsia="en-US"/>
        </w:rPr>
        <w:drawing>
          <wp:anchor distT="0" distB="0" distL="114300" distR="114300" simplePos="0" relativeHeight="251656704" behindDoc="0" locked="1" layoutInCell="1" allowOverlap="1" wp14:anchorId="521C5702" wp14:editId="5D66C6FD">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14:sizeRelH relativeFrom="page">
              <wp14:pctWidth>0</wp14:pctWidth>
            </wp14:sizeRelH>
            <wp14:sizeRelV relativeFrom="page">
              <wp14:pctHeight>0</wp14:pctHeight>
            </wp14:sizeRelV>
          </wp:anchor>
        </w:drawing>
      </w:r>
      <w:r w:rsidR="006366BB" w:rsidRPr="00523824">
        <w:rPr>
          <w:rFonts w:eastAsia="Calibri"/>
          <w:noProof/>
          <w:lang w:eastAsia="en-US"/>
        </w:rPr>
        <mc:AlternateContent>
          <mc:Choice Requires="wps">
            <w:drawing>
              <wp:anchor distT="0" distB="0" distL="114300" distR="114300" simplePos="0" relativeHeight="251655680" behindDoc="0" locked="1" layoutInCell="1" allowOverlap="1" wp14:anchorId="338F40BE" wp14:editId="75D7BE74">
                <wp:simplePos x="0" y="0"/>
                <wp:positionH relativeFrom="column">
                  <wp:posOffset>-104140</wp:posOffset>
                </wp:positionH>
                <wp:positionV relativeFrom="page">
                  <wp:posOffset>9893300</wp:posOffset>
                </wp:positionV>
                <wp:extent cx="1485900" cy="278130"/>
                <wp:effectExtent l="0" t="0" r="0" b="0"/>
                <wp:wrapNone/>
                <wp:docPr id="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7813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13987FC" w14:textId="745A5028" w:rsidR="00894CB7" w:rsidRPr="00400DE5" w:rsidRDefault="00894CB7" w:rsidP="00F85DFD">
                            <w:pPr>
                              <w:ind w:right="-126"/>
                              <w:rPr>
                                <w:rFonts w:ascii="Century Gothic" w:hAnsi="Century Gothic"/>
                                <w:lang w:val="en-US"/>
                              </w:rPr>
                            </w:pPr>
                            <w:r>
                              <w:rPr>
                                <w:rFonts w:ascii="Century Gothic" w:hAnsi="Century Gothic" w:cs="Arial"/>
                                <w:lang w:val="en-US"/>
                              </w:rPr>
                              <w:t>March 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38F40BE" id="Text Box 13" o:spid="_x0000_s1031" type="#_x0000_t202" style="position:absolute;left:0;text-align:left;margin-left:-8.2pt;margin-top:779pt;width:117pt;height:21.9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" stroked="f">
                <v:textbox style="mso-fit-shape-to-text:t">
                  <w:txbxContent>
                    <w:p w14:paraId="513987FC" w14:textId="745A5028" w:rsidR="00894CB7" w:rsidRPr="00400DE5" w:rsidRDefault="00894CB7" w:rsidP="00F85DFD">
                      <w:pPr>
                        <w:ind w:right="-126"/>
                        <w:rPr>
                          <w:rFonts w:ascii="Century Gothic" w:hAnsi="Century Gothic"/>
                          <w:lang w:val="en-US"/>
                        </w:rPr>
                      </w:pPr>
                      <w:r>
                        <w:rPr>
                          <w:rFonts w:ascii="Century Gothic" w:hAnsi="Century Gothic" w:cs="Arial"/>
                          <w:lang w:val="en-US"/>
                        </w:rPr>
                        <w:t>March 2018</w:t>
                      </w:r>
                    </w:p>
                  </w:txbxContent>
                </v:textbox>
                <w10:wrap anchory="page"/>
                <w10:anchorlock/>
              </v:shape>
            </w:pict>
          </mc:Fallback>
        </mc:AlternateContent>
      </w:r>
    </w:p>
    <w:p w14:paraId="37CD6763" w14:textId="1CD68DDD" w:rsidR="008934CD" w:rsidRPr="00523824" w:rsidRDefault="00B12297" w:rsidP="001F14FD">
      <w:pPr>
        <w:rPr>
          <w:b/>
          <w:u w:val="single"/>
          <w:lang w:val="en-GB"/>
        </w:rPr>
      </w:pPr>
      <w:r w:rsidRPr="00523824">
        <w:rPr>
          <w:noProof/>
          <w:sz w:val="22"/>
          <w:lang w:val="en-US" w:eastAsia="en-US"/>
        </w:rPr>
        <w:drawing>
          <wp:anchor distT="0" distB="0" distL="114300" distR="114300" simplePos="0" relativeHeight="251654655" behindDoc="1" locked="0" layoutInCell="1" allowOverlap="1" wp14:anchorId="6BB69859" wp14:editId="59F8BC7C">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14:sizeRelH relativeFrom="page">
              <wp14:pctWidth>0</wp14:pctWidth>
            </wp14:sizeRelH>
            <wp14:sizeRelV relativeFrom="page">
              <wp14:pctHeight>0</wp14:pctHeight>
            </wp14:sizeRelV>
          </wp:anchor>
        </w:drawing>
      </w:r>
    </w:p>
    <w:p w14:paraId="5E04018D" w14:textId="5C073DB1" w:rsidR="00920899" w:rsidRPr="00523824" w:rsidRDefault="00920899" w:rsidP="009F4BC9">
      <w:pPr>
        <w:pStyle w:val="BlockText"/>
        <w:rPr>
          <w:sz w:val="22"/>
          <w:lang w:val="en-GB"/>
        </w:rPr>
        <w:sectPr w:rsidR="00920899" w:rsidRPr="00523824" w:rsidSect="00351E21">
          <w:type w:val="continuous"/>
          <w:pgSz w:w="11906" w:h="16838" w:code="9"/>
          <w:pgMar w:top="1418" w:right="1418" w:bottom="1418" w:left="1418" w:header="709" w:footer="709" w:gutter="0"/>
          <w:cols w:space="708"/>
          <w:docGrid w:linePitch="360"/>
        </w:sectPr>
      </w:pPr>
    </w:p>
    <w:p w14:paraId="31A4590E" w14:textId="77777777" w:rsidR="00B4243B" w:rsidRDefault="00B4243B" w:rsidP="001F14FD">
      <w:pPr>
        <w:rPr>
          <w:b/>
          <w:u w:val="single"/>
          <w:lang w:val="en-GB"/>
        </w:rPr>
      </w:pPr>
    </w:p>
    <w:p w14:paraId="5B638222" w14:textId="77777777" w:rsidR="00B4243B" w:rsidRDefault="00B4243B" w:rsidP="001F14FD">
      <w:pPr>
        <w:rPr>
          <w:b/>
          <w:u w:val="single"/>
          <w:lang w:val="en-GB"/>
        </w:rPr>
      </w:pPr>
    </w:p>
    <w:p w14:paraId="10D78BC1" w14:textId="796566A1" w:rsidR="00B4243B" w:rsidRDefault="00B4243B" w:rsidP="001F14FD">
      <w:pPr>
        <w:rPr>
          <w:b/>
          <w:u w:val="single"/>
          <w:lang w:val="en-GB"/>
        </w:rPr>
      </w:pPr>
    </w:p>
    <w:tbl>
      <w:tblPr>
        <w:tblpPr w:leftFromText="180" w:rightFromText="180" w:vertAnchor="text" w:horzAnchor="margin" w:tblpY="10202"/>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4A0" w:firstRow="1" w:lastRow="0" w:firstColumn="1" w:lastColumn="0" w:noHBand="0" w:noVBand="1"/>
      </w:tblPr>
      <w:tblGrid>
        <w:gridCol w:w="9040"/>
      </w:tblGrid>
      <w:tr w:rsidR="00B4243B" w:rsidRPr="006B5ED7" w14:paraId="0185030E" w14:textId="77777777" w:rsidTr="00E3343A">
        <w:tc>
          <w:tcPr>
            <w:tcW w:w="0" w:type="auto"/>
            <w:tcMar>
              <w:top w:w="0" w:type="dxa"/>
              <w:left w:w="108" w:type="dxa"/>
              <w:bottom w:w="0" w:type="dxa"/>
              <w:right w:w="108" w:type="dxa"/>
            </w:tcMar>
            <w:vAlign w:val="bottom"/>
            <w:hideMark/>
          </w:tcPr>
          <w:p w14:paraId="5830B6A5" w14:textId="77777777" w:rsidR="00B4243B" w:rsidRPr="00EB46B5" w:rsidRDefault="00B4243B" w:rsidP="00E3343A">
            <w:pPr>
              <w:pStyle w:val="xmsonormal"/>
              <w:widowControl w:val="0"/>
              <w:ind w:left="340" w:right="340"/>
              <w:jc w:val="both"/>
              <w:rPr>
                <w:sz w:val="22"/>
                <w:szCs w:val="18"/>
              </w:rPr>
            </w:pPr>
          </w:p>
          <w:p w14:paraId="5FDBC077" w14:textId="77777777" w:rsidR="00B4243B" w:rsidRPr="00EB46B5" w:rsidRDefault="00B4243B" w:rsidP="00E3343A">
            <w:pPr>
              <w:pStyle w:val="xmsonormal"/>
              <w:widowControl w:val="0"/>
              <w:ind w:left="340" w:right="340"/>
              <w:jc w:val="both"/>
              <w:rPr>
                <w:sz w:val="22"/>
                <w:szCs w:val="18"/>
              </w:rPr>
            </w:pPr>
            <w:r w:rsidRPr="00EB46B5">
              <w:rPr>
                <w:sz w:val="22"/>
                <w:szCs w:val="18"/>
              </w:rPr>
              <w:t xml:space="preserve">This Report has been prepared by </w:t>
            </w:r>
            <w:r>
              <w:rPr>
                <w:sz w:val="22"/>
                <w:szCs w:val="18"/>
              </w:rPr>
              <w:t xml:space="preserve">Emma Psaila and Jelena </w:t>
            </w:r>
            <w:proofErr w:type="spellStart"/>
            <w:r>
              <w:rPr>
                <w:sz w:val="22"/>
                <w:szCs w:val="18"/>
              </w:rPr>
              <w:t>Dzankic</w:t>
            </w:r>
            <w:proofErr w:type="spellEnd"/>
            <w:r w:rsidRPr="00EB46B5">
              <w:rPr>
                <w:sz w:val="22"/>
                <w:szCs w:val="18"/>
              </w:rPr>
              <w:t xml:space="preserve"> for Milieu Ltd under the contract JUST/2016/RCIT/FW/RIGH/0152 (2017/06). </w:t>
            </w:r>
          </w:p>
          <w:p w14:paraId="0C737DFC" w14:textId="77777777" w:rsidR="00B4243B" w:rsidRPr="00EB46B5" w:rsidRDefault="00B4243B" w:rsidP="00E3343A">
            <w:pPr>
              <w:pStyle w:val="xmsonormal"/>
              <w:widowControl w:val="0"/>
              <w:ind w:left="340" w:right="340"/>
              <w:jc w:val="both"/>
              <w:rPr>
                <w:sz w:val="22"/>
                <w:szCs w:val="18"/>
              </w:rPr>
            </w:pPr>
          </w:p>
          <w:p w14:paraId="45B4DD7A" w14:textId="77777777" w:rsidR="00B4243B" w:rsidRPr="00EB46B5" w:rsidRDefault="00B4243B" w:rsidP="00E3343A">
            <w:pPr>
              <w:pStyle w:val="xmsonormal"/>
              <w:widowControl w:val="0"/>
              <w:ind w:left="340" w:right="340"/>
              <w:jc w:val="both"/>
              <w:rPr>
                <w:sz w:val="22"/>
                <w:szCs w:val="18"/>
              </w:rPr>
            </w:pPr>
            <w:r w:rsidRPr="00EB46B5">
              <w:rPr>
                <w:sz w:val="22"/>
                <w:szCs w:val="18"/>
              </w:rPr>
              <w:t xml:space="preserve">The views expressed herein are those of the consultants alone and do not necessarily represent the official views of the European Commission. </w:t>
            </w:r>
          </w:p>
          <w:p w14:paraId="46A15C40" w14:textId="77777777" w:rsidR="00B4243B" w:rsidRPr="00EB46B5" w:rsidRDefault="00B4243B" w:rsidP="00E3343A">
            <w:pPr>
              <w:pStyle w:val="xmsonormal"/>
              <w:widowControl w:val="0"/>
              <w:ind w:right="340"/>
              <w:jc w:val="both"/>
              <w:rPr>
                <w:sz w:val="22"/>
                <w:szCs w:val="18"/>
              </w:rPr>
            </w:pPr>
          </w:p>
          <w:p w14:paraId="375CCF4E" w14:textId="77777777" w:rsidR="00B4243B" w:rsidRPr="00862915" w:rsidRDefault="00B4243B" w:rsidP="00E3343A">
            <w:pPr>
              <w:pStyle w:val="xmsonormal"/>
              <w:widowControl w:val="0"/>
              <w:ind w:left="340" w:right="340"/>
              <w:jc w:val="both"/>
              <w:rPr>
                <w:sz w:val="22"/>
                <w:szCs w:val="18"/>
              </w:rPr>
            </w:pPr>
            <w:r w:rsidRPr="00862915">
              <w:rPr>
                <w:b/>
                <w:bCs/>
                <w:sz w:val="22"/>
                <w:szCs w:val="18"/>
              </w:rPr>
              <w:t>Milieu Ltd</w:t>
            </w:r>
            <w:r w:rsidRPr="00862915">
              <w:rPr>
                <w:sz w:val="22"/>
                <w:szCs w:val="18"/>
              </w:rPr>
              <w:t xml:space="preserve"> (Belgium), </w:t>
            </w:r>
            <w:proofErr w:type="spellStart"/>
            <w:r w:rsidRPr="00862915">
              <w:rPr>
                <w:sz w:val="22"/>
                <w:szCs w:val="18"/>
              </w:rPr>
              <w:t>Chaussée</w:t>
            </w:r>
            <w:proofErr w:type="spellEnd"/>
            <w:r w:rsidRPr="00862915">
              <w:rPr>
                <w:sz w:val="22"/>
                <w:szCs w:val="18"/>
              </w:rPr>
              <w:t xml:space="preserve"> de Charleroi 112, B-1060 Brussels, tel.: +32 2 506 1000; e-mail: </w:t>
            </w:r>
            <w:hyperlink r:id="rId11" w:history="1">
              <w:r w:rsidRPr="00862915">
                <w:rPr>
                  <w:rStyle w:val="Hyperlink"/>
                  <w:sz w:val="22"/>
                  <w:szCs w:val="18"/>
                </w:rPr>
                <w:t>emma.psaila@milieu.be</w:t>
              </w:r>
            </w:hyperlink>
            <w:r w:rsidRPr="00862915">
              <w:rPr>
                <w:sz w:val="22"/>
                <w:szCs w:val="18"/>
              </w:rPr>
              <w:t xml:space="preserve">; </w:t>
            </w:r>
            <w:hyperlink r:id="rId12" w:history="1">
              <w:r w:rsidRPr="00862915">
                <w:rPr>
                  <w:rStyle w:val="Hyperlink"/>
                  <w:sz w:val="22"/>
                  <w:szCs w:val="18"/>
                </w:rPr>
                <w:t>ana.gomez@milieu.be</w:t>
              </w:r>
            </w:hyperlink>
            <w:r w:rsidRPr="00862915">
              <w:rPr>
                <w:sz w:val="22"/>
                <w:szCs w:val="18"/>
              </w:rPr>
              <w:t xml:space="preserve"> and </w:t>
            </w:r>
            <w:hyperlink r:id="rId13" w:history="1">
              <w:r w:rsidRPr="00862915">
                <w:rPr>
                  <w:rStyle w:val="Hyperlink"/>
                  <w:sz w:val="22"/>
                  <w:szCs w:val="18"/>
                </w:rPr>
                <w:t>vanessa.leigh@milieu.be</w:t>
              </w:r>
            </w:hyperlink>
            <w:r w:rsidRPr="00862915">
              <w:rPr>
                <w:sz w:val="22"/>
                <w:szCs w:val="18"/>
              </w:rPr>
              <w:t xml:space="preserve">; web address: </w:t>
            </w:r>
            <w:hyperlink r:id="rId14" w:history="1">
              <w:r w:rsidRPr="00862915">
                <w:rPr>
                  <w:rStyle w:val="Hyperlink"/>
                  <w:sz w:val="22"/>
                  <w:szCs w:val="18"/>
                </w:rPr>
                <w:t>www.milieu.be</w:t>
              </w:r>
            </w:hyperlink>
            <w:r w:rsidRPr="00862915">
              <w:rPr>
                <w:sz w:val="22"/>
                <w:szCs w:val="18"/>
              </w:rPr>
              <w:t xml:space="preserve">. </w:t>
            </w:r>
          </w:p>
          <w:p w14:paraId="7E89A4D2" w14:textId="77777777" w:rsidR="00B4243B" w:rsidRPr="00862915" w:rsidRDefault="00B4243B" w:rsidP="00E3343A">
            <w:pPr>
              <w:pStyle w:val="xmsonormal"/>
              <w:widowControl w:val="0"/>
              <w:ind w:right="340"/>
              <w:rPr>
                <w:sz w:val="22"/>
                <w:szCs w:val="18"/>
              </w:rPr>
            </w:pPr>
          </w:p>
        </w:tc>
      </w:tr>
    </w:tbl>
    <w:p w14:paraId="35C023A6" w14:textId="77777777" w:rsidR="00B4243B" w:rsidRDefault="00B4243B" w:rsidP="001F14FD">
      <w:pPr>
        <w:rPr>
          <w:b/>
          <w:u w:val="single"/>
          <w:lang w:val="en-GB"/>
        </w:rPr>
      </w:pPr>
    </w:p>
    <w:p w14:paraId="3D62DB1D" w14:textId="77777777" w:rsidR="00B4243B" w:rsidRDefault="00B4243B" w:rsidP="001F14FD">
      <w:pPr>
        <w:rPr>
          <w:b/>
          <w:u w:val="single"/>
          <w:lang w:val="en-GB"/>
        </w:rPr>
      </w:pPr>
    </w:p>
    <w:p w14:paraId="0E5BB0D9" w14:textId="77777777" w:rsidR="00B4243B" w:rsidRDefault="00B4243B" w:rsidP="001F14FD">
      <w:pPr>
        <w:rPr>
          <w:b/>
          <w:u w:val="single"/>
          <w:lang w:val="en-GB"/>
        </w:rPr>
      </w:pPr>
    </w:p>
    <w:p w14:paraId="77AC3167" w14:textId="77777777" w:rsidR="00B4243B" w:rsidRDefault="00B4243B" w:rsidP="001F14FD">
      <w:pPr>
        <w:rPr>
          <w:b/>
          <w:u w:val="single"/>
          <w:lang w:val="en-GB"/>
        </w:rPr>
      </w:pPr>
    </w:p>
    <w:p w14:paraId="5177FB56" w14:textId="77777777" w:rsidR="00B4243B" w:rsidRDefault="00B4243B" w:rsidP="001F14FD">
      <w:pPr>
        <w:rPr>
          <w:b/>
          <w:u w:val="single"/>
          <w:lang w:val="en-GB"/>
        </w:rPr>
      </w:pPr>
    </w:p>
    <w:p w14:paraId="17E63D30" w14:textId="77777777" w:rsidR="00B4243B" w:rsidRDefault="00B4243B" w:rsidP="001F14FD">
      <w:pPr>
        <w:rPr>
          <w:b/>
          <w:u w:val="single"/>
          <w:lang w:val="en-GB"/>
        </w:rPr>
      </w:pPr>
    </w:p>
    <w:p w14:paraId="2A9FE9B0" w14:textId="77777777" w:rsidR="00B4243B" w:rsidRDefault="00B4243B" w:rsidP="001F14FD">
      <w:pPr>
        <w:rPr>
          <w:b/>
          <w:u w:val="single"/>
          <w:lang w:val="en-GB"/>
        </w:rPr>
      </w:pPr>
    </w:p>
    <w:p w14:paraId="26BE5DA0" w14:textId="77777777" w:rsidR="00B4243B" w:rsidRDefault="00B4243B" w:rsidP="001F14FD">
      <w:pPr>
        <w:rPr>
          <w:b/>
          <w:u w:val="single"/>
          <w:lang w:val="en-GB"/>
        </w:rPr>
      </w:pPr>
    </w:p>
    <w:p w14:paraId="44166EAB" w14:textId="77777777" w:rsidR="00B4243B" w:rsidRDefault="00B4243B" w:rsidP="001F14FD">
      <w:pPr>
        <w:rPr>
          <w:b/>
          <w:u w:val="single"/>
          <w:lang w:val="en-GB"/>
        </w:rPr>
      </w:pPr>
    </w:p>
    <w:p w14:paraId="42929D75" w14:textId="77777777" w:rsidR="00B4243B" w:rsidRDefault="00B4243B" w:rsidP="001F14FD">
      <w:pPr>
        <w:rPr>
          <w:b/>
          <w:u w:val="single"/>
          <w:lang w:val="en-GB"/>
        </w:rPr>
      </w:pPr>
    </w:p>
    <w:p w14:paraId="1C57306C" w14:textId="77777777" w:rsidR="00B4243B" w:rsidRDefault="00B4243B" w:rsidP="001F14FD">
      <w:pPr>
        <w:rPr>
          <w:b/>
          <w:u w:val="single"/>
          <w:lang w:val="en-GB"/>
        </w:rPr>
      </w:pPr>
    </w:p>
    <w:p w14:paraId="2DA0DB95" w14:textId="77777777" w:rsidR="00B4243B" w:rsidRDefault="00B4243B" w:rsidP="001F14FD">
      <w:pPr>
        <w:rPr>
          <w:b/>
          <w:u w:val="single"/>
          <w:lang w:val="en-GB"/>
        </w:rPr>
      </w:pPr>
    </w:p>
    <w:p w14:paraId="28AB12E4" w14:textId="77777777" w:rsidR="00B4243B" w:rsidRDefault="00B4243B" w:rsidP="001F14FD">
      <w:pPr>
        <w:rPr>
          <w:b/>
          <w:u w:val="single"/>
          <w:lang w:val="en-GB"/>
        </w:rPr>
      </w:pPr>
    </w:p>
    <w:p w14:paraId="19FBBB02" w14:textId="77777777" w:rsidR="00B4243B" w:rsidRDefault="00B4243B" w:rsidP="001F14FD">
      <w:pPr>
        <w:rPr>
          <w:b/>
          <w:u w:val="single"/>
          <w:lang w:val="en-GB"/>
        </w:rPr>
      </w:pPr>
    </w:p>
    <w:p w14:paraId="248A8CA5" w14:textId="77777777" w:rsidR="00B4243B" w:rsidRDefault="00B4243B" w:rsidP="001F14FD">
      <w:pPr>
        <w:rPr>
          <w:b/>
          <w:u w:val="single"/>
          <w:lang w:val="en-GB"/>
        </w:rPr>
      </w:pPr>
    </w:p>
    <w:p w14:paraId="79B01E5C" w14:textId="77777777" w:rsidR="00B4243B" w:rsidRDefault="00B4243B" w:rsidP="001F14FD">
      <w:pPr>
        <w:rPr>
          <w:b/>
          <w:u w:val="single"/>
          <w:lang w:val="en-GB"/>
        </w:rPr>
      </w:pPr>
    </w:p>
    <w:p w14:paraId="6048E8B3" w14:textId="77777777" w:rsidR="00B4243B" w:rsidRDefault="00B4243B" w:rsidP="001F14FD">
      <w:pPr>
        <w:rPr>
          <w:b/>
          <w:u w:val="single"/>
          <w:lang w:val="en-GB"/>
        </w:rPr>
      </w:pPr>
    </w:p>
    <w:p w14:paraId="62942413" w14:textId="77777777" w:rsidR="00B4243B" w:rsidRDefault="00B4243B" w:rsidP="001F14FD">
      <w:pPr>
        <w:rPr>
          <w:b/>
          <w:u w:val="single"/>
          <w:lang w:val="en-GB"/>
        </w:rPr>
      </w:pPr>
    </w:p>
    <w:p w14:paraId="681E56CF" w14:textId="77777777" w:rsidR="00B4243B" w:rsidRDefault="00B4243B" w:rsidP="001F14FD">
      <w:pPr>
        <w:rPr>
          <w:b/>
          <w:u w:val="single"/>
          <w:lang w:val="en-GB"/>
        </w:rPr>
      </w:pPr>
    </w:p>
    <w:p w14:paraId="5141A26F" w14:textId="77777777" w:rsidR="00B4243B" w:rsidRDefault="00B4243B" w:rsidP="001F14FD">
      <w:pPr>
        <w:rPr>
          <w:b/>
          <w:u w:val="single"/>
          <w:lang w:val="en-GB"/>
        </w:rPr>
      </w:pPr>
    </w:p>
    <w:p w14:paraId="77B1B421" w14:textId="77777777" w:rsidR="00B4243B" w:rsidRDefault="00B4243B" w:rsidP="001F14FD">
      <w:pPr>
        <w:rPr>
          <w:b/>
          <w:u w:val="single"/>
          <w:lang w:val="en-GB"/>
        </w:rPr>
      </w:pPr>
    </w:p>
    <w:p w14:paraId="1190B754" w14:textId="77777777" w:rsidR="00B4243B" w:rsidRDefault="00B4243B" w:rsidP="001F14FD">
      <w:pPr>
        <w:rPr>
          <w:b/>
          <w:u w:val="single"/>
          <w:lang w:val="en-GB"/>
        </w:rPr>
      </w:pPr>
    </w:p>
    <w:p w14:paraId="608B4394" w14:textId="77777777" w:rsidR="00B4243B" w:rsidRDefault="00B4243B" w:rsidP="001F14FD">
      <w:pPr>
        <w:rPr>
          <w:b/>
          <w:u w:val="single"/>
          <w:lang w:val="en-GB"/>
        </w:rPr>
      </w:pPr>
    </w:p>
    <w:p w14:paraId="48EF015B" w14:textId="77777777" w:rsidR="00B4243B" w:rsidRDefault="00B4243B" w:rsidP="001F14FD">
      <w:pPr>
        <w:rPr>
          <w:b/>
          <w:u w:val="single"/>
          <w:lang w:val="en-GB"/>
        </w:rPr>
      </w:pPr>
    </w:p>
    <w:p w14:paraId="564AF8DE" w14:textId="77777777" w:rsidR="00B4243B" w:rsidRDefault="00B4243B" w:rsidP="001F14FD">
      <w:pPr>
        <w:rPr>
          <w:b/>
          <w:u w:val="single"/>
          <w:lang w:val="en-GB"/>
        </w:rPr>
      </w:pPr>
    </w:p>
    <w:p w14:paraId="75F5A352" w14:textId="77777777" w:rsidR="00B4243B" w:rsidRDefault="00B4243B" w:rsidP="001F14FD">
      <w:pPr>
        <w:rPr>
          <w:b/>
          <w:u w:val="single"/>
          <w:lang w:val="en-GB"/>
        </w:rPr>
      </w:pPr>
    </w:p>
    <w:p w14:paraId="45CBC048" w14:textId="77777777" w:rsidR="00B4243B" w:rsidRDefault="00B4243B" w:rsidP="001F14FD">
      <w:pPr>
        <w:rPr>
          <w:b/>
          <w:u w:val="single"/>
          <w:lang w:val="en-GB"/>
        </w:rPr>
      </w:pPr>
    </w:p>
    <w:p w14:paraId="707B2ADF" w14:textId="77777777" w:rsidR="00B4243B" w:rsidRDefault="00B4243B" w:rsidP="001F14FD">
      <w:pPr>
        <w:rPr>
          <w:b/>
          <w:u w:val="single"/>
          <w:lang w:val="en-GB"/>
        </w:rPr>
      </w:pPr>
    </w:p>
    <w:p w14:paraId="73A0E7B1" w14:textId="77777777" w:rsidR="00B4243B" w:rsidRDefault="00B4243B" w:rsidP="001F14FD">
      <w:pPr>
        <w:rPr>
          <w:b/>
          <w:u w:val="single"/>
          <w:lang w:val="en-GB"/>
        </w:rPr>
      </w:pPr>
    </w:p>
    <w:p w14:paraId="3F498156" w14:textId="77777777" w:rsidR="00B4243B" w:rsidRDefault="00B4243B" w:rsidP="001F14FD">
      <w:pPr>
        <w:rPr>
          <w:b/>
          <w:u w:val="single"/>
          <w:lang w:val="en-GB"/>
        </w:rPr>
      </w:pPr>
    </w:p>
    <w:p w14:paraId="7AFD5731" w14:textId="77777777" w:rsidR="00B4243B" w:rsidRDefault="00B4243B" w:rsidP="001F14FD">
      <w:pPr>
        <w:rPr>
          <w:b/>
          <w:u w:val="single"/>
          <w:lang w:val="en-GB"/>
        </w:rPr>
      </w:pPr>
    </w:p>
    <w:p w14:paraId="795A9966" w14:textId="77777777" w:rsidR="00B4243B" w:rsidRDefault="00B4243B" w:rsidP="001F14FD">
      <w:pPr>
        <w:rPr>
          <w:b/>
          <w:u w:val="single"/>
          <w:lang w:val="en-GB"/>
        </w:rPr>
      </w:pPr>
    </w:p>
    <w:p w14:paraId="76AC99EE" w14:textId="77777777" w:rsidR="00B4243B" w:rsidRDefault="00B4243B" w:rsidP="001F14FD">
      <w:pPr>
        <w:rPr>
          <w:b/>
          <w:u w:val="single"/>
          <w:lang w:val="en-GB"/>
        </w:rPr>
      </w:pPr>
    </w:p>
    <w:p w14:paraId="72F9F793" w14:textId="77777777" w:rsidR="00B4243B" w:rsidRDefault="00B4243B" w:rsidP="001F14FD">
      <w:pPr>
        <w:rPr>
          <w:b/>
          <w:u w:val="single"/>
          <w:lang w:val="en-GB"/>
        </w:rPr>
      </w:pPr>
    </w:p>
    <w:p w14:paraId="4118CD93" w14:textId="77777777" w:rsidR="00B4243B" w:rsidRDefault="00B4243B" w:rsidP="001F14FD">
      <w:pPr>
        <w:rPr>
          <w:b/>
          <w:u w:val="single"/>
          <w:lang w:val="en-GB"/>
        </w:rPr>
      </w:pPr>
    </w:p>
    <w:p w14:paraId="03A64671" w14:textId="77777777" w:rsidR="00B4243B" w:rsidRDefault="00B4243B" w:rsidP="001F14FD">
      <w:pPr>
        <w:rPr>
          <w:b/>
          <w:u w:val="single"/>
          <w:lang w:val="en-GB"/>
        </w:rPr>
      </w:pPr>
    </w:p>
    <w:p w14:paraId="3190FAB8" w14:textId="77777777" w:rsidR="00B4243B" w:rsidRDefault="00B4243B" w:rsidP="001F14FD">
      <w:pPr>
        <w:rPr>
          <w:b/>
          <w:u w:val="single"/>
          <w:lang w:val="en-GB"/>
        </w:rPr>
      </w:pPr>
    </w:p>
    <w:p w14:paraId="710B8F0C" w14:textId="25C8CFC4" w:rsidR="001F14FD" w:rsidRPr="00B4243B" w:rsidRDefault="001F14FD" w:rsidP="001F14FD">
      <w:pPr>
        <w:rPr>
          <w:b/>
          <w:u w:val="single"/>
          <w:lang w:val="en-GB"/>
        </w:rPr>
      </w:pP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9040"/>
      </w:tblGrid>
      <w:tr w:rsidR="00F64DD1" w:rsidRPr="006B5ED7" w14:paraId="19F2D135" w14:textId="77777777" w:rsidTr="006F2F47">
        <w:tc>
          <w:tcPr>
            <w:tcW w:w="5000" w:type="pct"/>
            <w:shd w:val="clear" w:color="auto" w:fill="auto"/>
            <w:vAlign w:val="center"/>
          </w:tcPr>
          <w:p w14:paraId="637BA842" w14:textId="740EFDA4" w:rsidR="00F64DD1" w:rsidRPr="00523824" w:rsidRDefault="00F53B5D" w:rsidP="00F97EDE">
            <w:pPr>
              <w:ind w:right="-126"/>
              <w:jc w:val="center"/>
              <w:rPr>
                <w:rFonts w:ascii="Century Gothic" w:hAnsi="Century Gothic" w:cs="Arial"/>
                <w:b/>
                <w:i/>
                <w:color w:val="7AB800" w:themeColor="text2"/>
                <w:sz w:val="28"/>
                <w:szCs w:val="28"/>
                <w:lang w:val="en-GB"/>
              </w:rPr>
            </w:pPr>
            <w:r w:rsidRPr="00523824">
              <w:rPr>
                <w:rFonts w:ascii="Century Gothic" w:hAnsi="Century Gothic" w:cs="Arial"/>
                <w:b/>
                <w:i/>
                <w:color w:val="4F81BD" w:themeColor="accent1"/>
                <w:sz w:val="28"/>
                <w:szCs w:val="28"/>
                <w:lang w:val="en-GB"/>
              </w:rPr>
              <w:t>Factual analysis of Member States Investors’ Schemes granting citizenship or residence to third-country nationals investing in the said Member State</w:t>
            </w:r>
          </w:p>
        </w:tc>
      </w:tr>
    </w:tbl>
    <w:p w14:paraId="1350A0F1" w14:textId="77777777" w:rsidR="001F14FD" w:rsidRPr="00523824" w:rsidRDefault="001F14FD" w:rsidP="001F14FD">
      <w:pPr>
        <w:rPr>
          <w:b/>
          <w:sz w:val="22"/>
          <w:szCs w:val="22"/>
          <w:lang w:val="en-GB"/>
        </w:rPr>
      </w:pPr>
    </w:p>
    <w:p w14:paraId="173B0A5B" w14:textId="77777777" w:rsidR="00F90C45" w:rsidRPr="00523824" w:rsidRDefault="00F90C45" w:rsidP="001F14FD">
      <w:pPr>
        <w:rPr>
          <w:b/>
          <w:sz w:val="22"/>
          <w:szCs w:val="22"/>
          <w:lang w:val="en-GB"/>
        </w:rPr>
      </w:pPr>
    </w:p>
    <w:p w14:paraId="4F08FF81" w14:textId="77777777" w:rsidR="00E82864" w:rsidRPr="00523824" w:rsidRDefault="00F90C45" w:rsidP="001F14FD">
      <w:pPr>
        <w:rPr>
          <w:rFonts w:ascii="Century Gothic" w:hAnsi="Century Gothic"/>
          <w:b/>
          <w:sz w:val="22"/>
          <w:szCs w:val="22"/>
          <w:lang w:val="en-GB"/>
        </w:rPr>
      </w:pPr>
      <w:r w:rsidRPr="00523824">
        <w:rPr>
          <w:rFonts w:ascii="Century Gothic" w:hAnsi="Century Gothic"/>
          <w:b/>
          <w:sz w:val="22"/>
          <w:szCs w:val="22"/>
          <w:lang w:val="en-GB"/>
        </w:rPr>
        <w:t>TABLE OF CONTENTS</w:t>
      </w:r>
    </w:p>
    <w:p w14:paraId="273EC56A" w14:textId="77777777" w:rsidR="00F90C45" w:rsidRPr="00523824" w:rsidRDefault="00F90C45" w:rsidP="001F14FD">
      <w:pPr>
        <w:rPr>
          <w:rFonts w:ascii="Century Gothic" w:hAnsi="Century Gothic"/>
          <w:b/>
          <w:sz w:val="22"/>
          <w:szCs w:val="22"/>
          <w:lang w:val="en-GB"/>
        </w:rPr>
      </w:pPr>
    </w:p>
    <w:p w14:paraId="2E284D46" w14:textId="77777777" w:rsidR="00F90C45" w:rsidRPr="00523824" w:rsidRDefault="00F90C45" w:rsidP="001F14FD">
      <w:pPr>
        <w:rPr>
          <w:rFonts w:ascii="Century Gothic" w:hAnsi="Century Gothic"/>
          <w:b/>
          <w:sz w:val="22"/>
          <w:szCs w:val="22"/>
          <w:lang w:val="en-GB"/>
        </w:rPr>
      </w:pPr>
    </w:p>
    <w:sdt>
      <w:sdtPr>
        <w:rPr>
          <w:rFonts w:ascii="Times New Roman" w:hAnsi="Times New Roman"/>
          <w:b w:val="0"/>
          <w:bCs w:val="0"/>
          <w:caps w:val="0"/>
          <w:noProof w:val="0"/>
          <w:sz w:val="24"/>
          <w:szCs w:val="24"/>
          <w:lang w:val="en-GB"/>
        </w:rPr>
        <w:id w:val="454527142"/>
        <w:docPartObj>
          <w:docPartGallery w:val="Table of Contents"/>
          <w:docPartUnique/>
        </w:docPartObj>
      </w:sdtPr>
      <w:sdtEndPr/>
      <w:sdtContent>
        <w:bookmarkStart w:id="0" w:name="_GoBack" w:displacedByCustomXml="prev"/>
        <w:bookmarkEnd w:id="0" w:displacedByCustomXml="prev"/>
        <w:p w14:paraId="34D1A62D" w14:textId="1EC4A820" w:rsidR="006B5ED7" w:rsidRDefault="00F90C45">
          <w:pPr>
            <w:pStyle w:val="TOC1"/>
            <w:rPr>
              <w:rFonts w:asciiTheme="minorHAnsi" w:eastAsiaTheme="minorEastAsia" w:hAnsiTheme="minorHAnsi" w:cstheme="minorBidi"/>
              <w:b w:val="0"/>
              <w:bCs w:val="0"/>
              <w:caps w:val="0"/>
              <w:sz w:val="24"/>
              <w:szCs w:val="24"/>
              <w:lang w:val="en-US" w:eastAsia="en-US"/>
            </w:rPr>
          </w:pPr>
          <w:r w:rsidRPr="00523824">
            <w:rPr>
              <w:lang w:val="en-GB"/>
            </w:rPr>
            <w:fldChar w:fldCharType="begin"/>
          </w:r>
          <w:r w:rsidRPr="00523824">
            <w:rPr>
              <w:lang w:val="en-GB"/>
            </w:rPr>
            <w:instrText xml:space="preserve"> TOC \o "1-3" \h \z \u </w:instrText>
          </w:r>
          <w:r w:rsidRPr="00523824">
            <w:rPr>
              <w:lang w:val="en-GB"/>
            </w:rPr>
            <w:fldChar w:fldCharType="separate"/>
          </w:r>
          <w:hyperlink w:anchor="_Toc517765938" w:history="1">
            <w:r w:rsidR="006B5ED7" w:rsidRPr="005740FD">
              <w:rPr>
                <w:rStyle w:val="Hyperlink"/>
              </w:rPr>
              <w:t>I.</w:t>
            </w:r>
            <w:r w:rsidR="006B5ED7">
              <w:rPr>
                <w:rFonts w:asciiTheme="minorHAnsi" w:eastAsiaTheme="minorEastAsia" w:hAnsiTheme="minorHAnsi" w:cstheme="minorBidi"/>
                <w:b w:val="0"/>
                <w:bCs w:val="0"/>
                <w:caps w:val="0"/>
                <w:sz w:val="24"/>
                <w:szCs w:val="24"/>
                <w:lang w:val="en-US" w:eastAsia="en-US"/>
              </w:rPr>
              <w:tab/>
            </w:r>
            <w:r w:rsidR="006B5ED7" w:rsidRPr="005740FD">
              <w:rPr>
                <w:rStyle w:val="Hyperlink"/>
              </w:rPr>
              <w:t>GENERAL BACKGROUND</w:t>
            </w:r>
            <w:r w:rsidR="006B5ED7">
              <w:rPr>
                <w:webHidden/>
              </w:rPr>
              <w:tab/>
            </w:r>
            <w:r w:rsidR="006B5ED7">
              <w:rPr>
                <w:webHidden/>
              </w:rPr>
              <w:fldChar w:fldCharType="begin"/>
            </w:r>
            <w:r w:rsidR="006B5ED7">
              <w:rPr>
                <w:webHidden/>
              </w:rPr>
              <w:instrText xml:space="preserve"> PAGEREF _Toc517765938 \h </w:instrText>
            </w:r>
            <w:r w:rsidR="006B5ED7">
              <w:rPr>
                <w:webHidden/>
              </w:rPr>
            </w:r>
            <w:r w:rsidR="006B5ED7">
              <w:rPr>
                <w:webHidden/>
              </w:rPr>
              <w:fldChar w:fldCharType="separate"/>
            </w:r>
            <w:r w:rsidR="006B5ED7">
              <w:rPr>
                <w:webHidden/>
              </w:rPr>
              <w:t>1</w:t>
            </w:r>
            <w:r w:rsidR="006B5ED7">
              <w:rPr>
                <w:webHidden/>
              </w:rPr>
              <w:fldChar w:fldCharType="end"/>
            </w:r>
          </w:hyperlink>
        </w:p>
        <w:p w14:paraId="69E0EF2D" w14:textId="0D23195B"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39" w:history="1">
            <w:r w:rsidRPr="005740FD">
              <w:rPr>
                <w:rStyle w:val="Hyperlink"/>
              </w:rPr>
              <w:t>II.</w:t>
            </w:r>
            <w:r>
              <w:rPr>
                <w:rFonts w:asciiTheme="minorHAnsi" w:eastAsiaTheme="minorEastAsia" w:hAnsiTheme="minorHAnsi" w:cstheme="minorBidi"/>
                <w:b w:val="0"/>
                <w:bCs w:val="0"/>
                <w:caps w:val="0"/>
                <w:sz w:val="24"/>
                <w:szCs w:val="24"/>
                <w:lang w:val="en-US" w:eastAsia="en-US"/>
              </w:rPr>
              <w:tab/>
            </w:r>
            <w:r w:rsidRPr="005740FD">
              <w:rPr>
                <w:rStyle w:val="Hyperlink"/>
              </w:rPr>
              <w:t>PROCEDURES, COMPETENT AUTHORITIES AND APPLICABLE CRITERIA</w:t>
            </w:r>
            <w:r>
              <w:rPr>
                <w:webHidden/>
              </w:rPr>
              <w:tab/>
            </w:r>
            <w:r>
              <w:rPr>
                <w:webHidden/>
              </w:rPr>
              <w:fldChar w:fldCharType="begin"/>
            </w:r>
            <w:r>
              <w:rPr>
                <w:webHidden/>
              </w:rPr>
              <w:instrText xml:space="preserve"> PAGEREF _Toc517765939 \h </w:instrText>
            </w:r>
            <w:r>
              <w:rPr>
                <w:webHidden/>
              </w:rPr>
            </w:r>
            <w:r>
              <w:rPr>
                <w:webHidden/>
              </w:rPr>
              <w:fldChar w:fldCharType="separate"/>
            </w:r>
            <w:r>
              <w:rPr>
                <w:webHidden/>
              </w:rPr>
              <w:t>6</w:t>
            </w:r>
            <w:r>
              <w:rPr>
                <w:webHidden/>
              </w:rPr>
              <w:fldChar w:fldCharType="end"/>
            </w:r>
          </w:hyperlink>
        </w:p>
        <w:p w14:paraId="75448196" w14:textId="3EB2AAB5"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0" w:history="1">
            <w:r w:rsidRPr="005740FD">
              <w:rPr>
                <w:rStyle w:val="Hyperlink"/>
              </w:rPr>
              <w:t>1</w:t>
            </w:r>
            <w:r>
              <w:rPr>
                <w:rFonts w:asciiTheme="minorHAnsi" w:eastAsiaTheme="minorEastAsia" w:hAnsiTheme="minorHAnsi" w:cstheme="minorBidi"/>
                <w:b w:val="0"/>
                <w:bCs w:val="0"/>
                <w:caps w:val="0"/>
                <w:sz w:val="24"/>
                <w:szCs w:val="24"/>
                <w:lang w:val="en-US" w:eastAsia="en-US"/>
              </w:rPr>
              <w:tab/>
            </w:r>
            <w:r w:rsidRPr="005740FD">
              <w:rPr>
                <w:rStyle w:val="Hyperlink"/>
              </w:rPr>
              <w:t>Application Phase</w:t>
            </w:r>
            <w:r>
              <w:rPr>
                <w:webHidden/>
              </w:rPr>
              <w:tab/>
            </w:r>
            <w:r>
              <w:rPr>
                <w:webHidden/>
              </w:rPr>
              <w:fldChar w:fldCharType="begin"/>
            </w:r>
            <w:r>
              <w:rPr>
                <w:webHidden/>
              </w:rPr>
              <w:instrText xml:space="preserve"> PAGEREF _Toc517765940 \h </w:instrText>
            </w:r>
            <w:r>
              <w:rPr>
                <w:webHidden/>
              </w:rPr>
            </w:r>
            <w:r>
              <w:rPr>
                <w:webHidden/>
              </w:rPr>
              <w:fldChar w:fldCharType="separate"/>
            </w:r>
            <w:r>
              <w:rPr>
                <w:webHidden/>
              </w:rPr>
              <w:t>6</w:t>
            </w:r>
            <w:r>
              <w:rPr>
                <w:webHidden/>
              </w:rPr>
              <w:fldChar w:fldCharType="end"/>
            </w:r>
          </w:hyperlink>
        </w:p>
        <w:p w14:paraId="602C5B70" w14:textId="79E44C87"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1" w:history="1">
            <w:r w:rsidRPr="005740FD">
              <w:rPr>
                <w:rStyle w:val="Hyperlink"/>
              </w:rPr>
              <w:t>2</w:t>
            </w:r>
            <w:r>
              <w:rPr>
                <w:rFonts w:asciiTheme="minorHAnsi" w:eastAsiaTheme="minorEastAsia" w:hAnsiTheme="minorHAnsi" w:cstheme="minorBidi"/>
                <w:b w:val="0"/>
                <w:bCs w:val="0"/>
                <w:caps w:val="0"/>
                <w:sz w:val="24"/>
                <w:szCs w:val="24"/>
                <w:lang w:val="en-US" w:eastAsia="en-US"/>
              </w:rPr>
              <w:tab/>
            </w:r>
            <w:r w:rsidRPr="005740FD">
              <w:rPr>
                <w:rStyle w:val="Hyperlink"/>
              </w:rPr>
              <w:t>Type of investment</w:t>
            </w:r>
            <w:r>
              <w:rPr>
                <w:webHidden/>
              </w:rPr>
              <w:tab/>
            </w:r>
            <w:r>
              <w:rPr>
                <w:webHidden/>
              </w:rPr>
              <w:fldChar w:fldCharType="begin"/>
            </w:r>
            <w:r>
              <w:rPr>
                <w:webHidden/>
              </w:rPr>
              <w:instrText xml:space="preserve"> PAGEREF _Toc517765941 \h </w:instrText>
            </w:r>
            <w:r>
              <w:rPr>
                <w:webHidden/>
              </w:rPr>
            </w:r>
            <w:r>
              <w:rPr>
                <w:webHidden/>
              </w:rPr>
              <w:fldChar w:fldCharType="separate"/>
            </w:r>
            <w:r>
              <w:rPr>
                <w:webHidden/>
              </w:rPr>
              <w:t>18</w:t>
            </w:r>
            <w:r>
              <w:rPr>
                <w:webHidden/>
              </w:rPr>
              <w:fldChar w:fldCharType="end"/>
            </w:r>
          </w:hyperlink>
        </w:p>
        <w:p w14:paraId="20BCD2F2" w14:textId="76BAC6EB"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2" w:history="1">
            <w:r w:rsidRPr="005740FD">
              <w:rPr>
                <w:rStyle w:val="Hyperlink"/>
              </w:rPr>
              <w:t>3</w:t>
            </w:r>
            <w:r>
              <w:rPr>
                <w:rFonts w:asciiTheme="minorHAnsi" w:eastAsiaTheme="minorEastAsia" w:hAnsiTheme="minorHAnsi" w:cstheme="minorBidi"/>
                <w:b w:val="0"/>
                <w:bCs w:val="0"/>
                <w:caps w:val="0"/>
                <w:sz w:val="24"/>
                <w:szCs w:val="24"/>
                <w:lang w:val="en-US" w:eastAsia="en-US"/>
              </w:rPr>
              <w:tab/>
            </w:r>
            <w:r w:rsidRPr="005740FD">
              <w:rPr>
                <w:rStyle w:val="Hyperlink"/>
              </w:rPr>
              <w:t>Residence Phase</w:t>
            </w:r>
            <w:r>
              <w:rPr>
                <w:webHidden/>
              </w:rPr>
              <w:tab/>
            </w:r>
            <w:r>
              <w:rPr>
                <w:webHidden/>
              </w:rPr>
              <w:fldChar w:fldCharType="begin"/>
            </w:r>
            <w:r>
              <w:rPr>
                <w:webHidden/>
              </w:rPr>
              <w:instrText xml:space="preserve"> PAGEREF _Toc517765942 \h </w:instrText>
            </w:r>
            <w:r>
              <w:rPr>
                <w:webHidden/>
              </w:rPr>
            </w:r>
            <w:r>
              <w:rPr>
                <w:webHidden/>
              </w:rPr>
              <w:fldChar w:fldCharType="separate"/>
            </w:r>
            <w:r>
              <w:rPr>
                <w:webHidden/>
              </w:rPr>
              <w:t>22</w:t>
            </w:r>
            <w:r>
              <w:rPr>
                <w:webHidden/>
              </w:rPr>
              <w:fldChar w:fldCharType="end"/>
            </w:r>
          </w:hyperlink>
        </w:p>
        <w:p w14:paraId="06F5600A" w14:textId="777A4516"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3" w:history="1">
            <w:r w:rsidRPr="005740FD">
              <w:rPr>
                <w:rStyle w:val="Hyperlink"/>
              </w:rPr>
              <w:t>4</w:t>
            </w:r>
            <w:r>
              <w:rPr>
                <w:rFonts w:asciiTheme="minorHAnsi" w:eastAsiaTheme="minorEastAsia" w:hAnsiTheme="minorHAnsi" w:cstheme="minorBidi"/>
                <w:b w:val="0"/>
                <w:bCs w:val="0"/>
                <w:caps w:val="0"/>
                <w:sz w:val="24"/>
                <w:szCs w:val="24"/>
                <w:lang w:val="en-US" w:eastAsia="en-US"/>
              </w:rPr>
              <w:tab/>
            </w:r>
            <w:r w:rsidRPr="005740FD">
              <w:rPr>
                <w:rStyle w:val="Hyperlink"/>
              </w:rPr>
              <w:t>Due diligence criteria and security considerations</w:t>
            </w:r>
            <w:r>
              <w:rPr>
                <w:webHidden/>
              </w:rPr>
              <w:tab/>
            </w:r>
            <w:r>
              <w:rPr>
                <w:webHidden/>
              </w:rPr>
              <w:fldChar w:fldCharType="begin"/>
            </w:r>
            <w:r>
              <w:rPr>
                <w:webHidden/>
              </w:rPr>
              <w:instrText xml:space="preserve"> PAGEREF _Toc517765943 \h </w:instrText>
            </w:r>
            <w:r>
              <w:rPr>
                <w:webHidden/>
              </w:rPr>
            </w:r>
            <w:r>
              <w:rPr>
                <w:webHidden/>
              </w:rPr>
              <w:fldChar w:fldCharType="separate"/>
            </w:r>
            <w:r>
              <w:rPr>
                <w:webHidden/>
              </w:rPr>
              <w:t>25</w:t>
            </w:r>
            <w:r>
              <w:rPr>
                <w:webHidden/>
              </w:rPr>
              <w:fldChar w:fldCharType="end"/>
            </w:r>
          </w:hyperlink>
        </w:p>
        <w:p w14:paraId="0E72161C" w14:textId="397D5C53"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4" w:history="1">
            <w:r w:rsidRPr="005740FD">
              <w:rPr>
                <w:rStyle w:val="Hyperlink"/>
              </w:rPr>
              <w:t>III.</w:t>
            </w:r>
            <w:r>
              <w:rPr>
                <w:rFonts w:asciiTheme="minorHAnsi" w:eastAsiaTheme="minorEastAsia" w:hAnsiTheme="minorHAnsi" w:cstheme="minorBidi"/>
                <w:b w:val="0"/>
                <w:bCs w:val="0"/>
                <w:caps w:val="0"/>
                <w:sz w:val="24"/>
                <w:szCs w:val="24"/>
                <w:lang w:val="en-US" w:eastAsia="en-US"/>
              </w:rPr>
              <w:tab/>
            </w:r>
            <w:r w:rsidRPr="005740FD">
              <w:rPr>
                <w:rStyle w:val="Hyperlink"/>
              </w:rPr>
              <w:t>RIGHTS GRANTED BY THE PERMITS</w:t>
            </w:r>
            <w:r>
              <w:rPr>
                <w:webHidden/>
              </w:rPr>
              <w:tab/>
            </w:r>
            <w:r>
              <w:rPr>
                <w:webHidden/>
              </w:rPr>
              <w:fldChar w:fldCharType="begin"/>
            </w:r>
            <w:r>
              <w:rPr>
                <w:webHidden/>
              </w:rPr>
              <w:instrText xml:space="preserve"> PAGEREF _Toc517765944 \h </w:instrText>
            </w:r>
            <w:r>
              <w:rPr>
                <w:webHidden/>
              </w:rPr>
            </w:r>
            <w:r>
              <w:rPr>
                <w:webHidden/>
              </w:rPr>
              <w:fldChar w:fldCharType="separate"/>
            </w:r>
            <w:r>
              <w:rPr>
                <w:webHidden/>
              </w:rPr>
              <w:t>30</w:t>
            </w:r>
            <w:r>
              <w:rPr>
                <w:webHidden/>
              </w:rPr>
              <w:fldChar w:fldCharType="end"/>
            </w:r>
          </w:hyperlink>
        </w:p>
        <w:p w14:paraId="49C6E5AC" w14:textId="18254BC6"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5" w:history="1">
            <w:r w:rsidRPr="005740FD">
              <w:rPr>
                <w:rStyle w:val="Hyperlink"/>
              </w:rPr>
              <w:t>1</w:t>
            </w:r>
            <w:r>
              <w:rPr>
                <w:rFonts w:asciiTheme="minorHAnsi" w:eastAsiaTheme="minorEastAsia" w:hAnsiTheme="minorHAnsi" w:cstheme="minorBidi"/>
                <w:b w:val="0"/>
                <w:bCs w:val="0"/>
                <w:caps w:val="0"/>
                <w:sz w:val="24"/>
                <w:szCs w:val="24"/>
                <w:lang w:val="en-US" w:eastAsia="en-US"/>
              </w:rPr>
              <w:tab/>
            </w:r>
            <w:r w:rsidRPr="005740FD">
              <w:rPr>
                <w:rStyle w:val="Hyperlink"/>
              </w:rPr>
              <w:t>Rights granted to investors</w:t>
            </w:r>
            <w:r>
              <w:rPr>
                <w:webHidden/>
              </w:rPr>
              <w:tab/>
            </w:r>
            <w:r>
              <w:rPr>
                <w:webHidden/>
              </w:rPr>
              <w:fldChar w:fldCharType="begin"/>
            </w:r>
            <w:r>
              <w:rPr>
                <w:webHidden/>
              </w:rPr>
              <w:instrText xml:space="preserve"> PAGEREF _Toc517765945 \h </w:instrText>
            </w:r>
            <w:r>
              <w:rPr>
                <w:webHidden/>
              </w:rPr>
            </w:r>
            <w:r>
              <w:rPr>
                <w:webHidden/>
              </w:rPr>
              <w:fldChar w:fldCharType="separate"/>
            </w:r>
            <w:r>
              <w:rPr>
                <w:webHidden/>
              </w:rPr>
              <w:t>30</w:t>
            </w:r>
            <w:r>
              <w:rPr>
                <w:webHidden/>
              </w:rPr>
              <w:fldChar w:fldCharType="end"/>
            </w:r>
          </w:hyperlink>
        </w:p>
        <w:p w14:paraId="6E65C57B" w14:textId="0D2000C7"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6" w:history="1">
            <w:r w:rsidRPr="005740FD">
              <w:rPr>
                <w:rStyle w:val="Hyperlink"/>
              </w:rPr>
              <w:t>2</w:t>
            </w:r>
            <w:r>
              <w:rPr>
                <w:rFonts w:asciiTheme="minorHAnsi" w:eastAsiaTheme="minorEastAsia" w:hAnsiTheme="minorHAnsi" w:cstheme="minorBidi"/>
                <w:b w:val="0"/>
                <w:bCs w:val="0"/>
                <w:caps w:val="0"/>
                <w:sz w:val="24"/>
                <w:szCs w:val="24"/>
                <w:lang w:val="en-US" w:eastAsia="en-US"/>
              </w:rPr>
              <w:tab/>
            </w:r>
            <w:r w:rsidRPr="005740FD">
              <w:rPr>
                <w:rStyle w:val="Hyperlink"/>
              </w:rPr>
              <w:t>Rights granted to the investors’ family members</w:t>
            </w:r>
            <w:r>
              <w:rPr>
                <w:webHidden/>
              </w:rPr>
              <w:tab/>
            </w:r>
            <w:r>
              <w:rPr>
                <w:webHidden/>
              </w:rPr>
              <w:fldChar w:fldCharType="begin"/>
            </w:r>
            <w:r>
              <w:rPr>
                <w:webHidden/>
              </w:rPr>
              <w:instrText xml:space="preserve"> PAGEREF _Toc517765946 \h </w:instrText>
            </w:r>
            <w:r>
              <w:rPr>
                <w:webHidden/>
              </w:rPr>
            </w:r>
            <w:r>
              <w:rPr>
                <w:webHidden/>
              </w:rPr>
              <w:fldChar w:fldCharType="separate"/>
            </w:r>
            <w:r>
              <w:rPr>
                <w:webHidden/>
              </w:rPr>
              <w:t>32</w:t>
            </w:r>
            <w:r>
              <w:rPr>
                <w:webHidden/>
              </w:rPr>
              <w:fldChar w:fldCharType="end"/>
            </w:r>
          </w:hyperlink>
        </w:p>
        <w:p w14:paraId="51560342" w14:textId="3FC05D98"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7" w:history="1">
            <w:r w:rsidRPr="005740FD">
              <w:rPr>
                <w:rStyle w:val="Hyperlink"/>
              </w:rPr>
              <w:t>3</w:t>
            </w:r>
            <w:r>
              <w:rPr>
                <w:rFonts w:asciiTheme="minorHAnsi" w:eastAsiaTheme="minorEastAsia" w:hAnsiTheme="minorHAnsi" w:cstheme="minorBidi"/>
                <w:b w:val="0"/>
                <w:bCs w:val="0"/>
                <w:caps w:val="0"/>
                <w:sz w:val="24"/>
                <w:szCs w:val="24"/>
                <w:lang w:val="en-US" w:eastAsia="en-US"/>
              </w:rPr>
              <w:tab/>
            </w:r>
            <w:r w:rsidRPr="005740FD">
              <w:rPr>
                <w:rStyle w:val="Hyperlink"/>
              </w:rPr>
              <w:t>Other benefits</w:t>
            </w:r>
            <w:r>
              <w:rPr>
                <w:webHidden/>
              </w:rPr>
              <w:tab/>
            </w:r>
            <w:r>
              <w:rPr>
                <w:webHidden/>
              </w:rPr>
              <w:fldChar w:fldCharType="begin"/>
            </w:r>
            <w:r>
              <w:rPr>
                <w:webHidden/>
              </w:rPr>
              <w:instrText xml:space="preserve"> PAGEREF _Toc517765947 \h </w:instrText>
            </w:r>
            <w:r>
              <w:rPr>
                <w:webHidden/>
              </w:rPr>
            </w:r>
            <w:r>
              <w:rPr>
                <w:webHidden/>
              </w:rPr>
              <w:fldChar w:fldCharType="separate"/>
            </w:r>
            <w:r>
              <w:rPr>
                <w:webHidden/>
              </w:rPr>
              <w:t>32</w:t>
            </w:r>
            <w:r>
              <w:rPr>
                <w:webHidden/>
              </w:rPr>
              <w:fldChar w:fldCharType="end"/>
            </w:r>
          </w:hyperlink>
        </w:p>
        <w:p w14:paraId="6BC7D351" w14:textId="29F84F50"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8" w:history="1">
            <w:r w:rsidRPr="005740FD">
              <w:rPr>
                <w:rStyle w:val="Hyperlink"/>
              </w:rPr>
              <w:t>IV.</w:t>
            </w:r>
            <w:r>
              <w:rPr>
                <w:rFonts w:asciiTheme="minorHAnsi" w:eastAsiaTheme="minorEastAsia" w:hAnsiTheme="minorHAnsi" w:cstheme="minorBidi"/>
                <w:b w:val="0"/>
                <w:bCs w:val="0"/>
                <w:caps w:val="0"/>
                <w:sz w:val="24"/>
                <w:szCs w:val="24"/>
                <w:lang w:val="en-US" w:eastAsia="en-US"/>
              </w:rPr>
              <w:tab/>
            </w:r>
            <w:r w:rsidRPr="005740FD">
              <w:rPr>
                <w:rStyle w:val="Hyperlink"/>
              </w:rPr>
              <w:t>INTERACTION BETWEEN RESIDENCE AND CITIZENSHIP SCHEMES</w:t>
            </w:r>
            <w:r>
              <w:rPr>
                <w:webHidden/>
              </w:rPr>
              <w:tab/>
            </w:r>
            <w:r>
              <w:rPr>
                <w:webHidden/>
              </w:rPr>
              <w:fldChar w:fldCharType="begin"/>
            </w:r>
            <w:r>
              <w:rPr>
                <w:webHidden/>
              </w:rPr>
              <w:instrText xml:space="preserve"> PAGEREF _Toc517765948 \h </w:instrText>
            </w:r>
            <w:r>
              <w:rPr>
                <w:webHidden/>
              </w:rPr>
            </w:r>
            <w:r>
              <w:rPr>
                <w:webHidden/>
              </w:rPr>
              <w:fldChar w:fldCharType="separate"/>
            </w:r>
            <w:r>
              <w:rPr>
                <w:webHidden/>
              </w:rPr>
              <w:t>33</w:t>
            </w:r>
            <w:r>
              <w:rPr>
                <w:webHidden/>
              </w:rPr>
              <w:fldChar w:fldCharType="end"/>
            </w:r>
          </w:hyperlink>
        </w:p>
        <w:p w14:paraId="6C02AA2F" w14:textId="3E0B3EBB" w:rsidR="006B5ED7" w:rsidRDefault="006B5ED7">
          <w:pPr>
            <w:pStyle w:val="TOC1"/>
            <w:rPr>
              <w:rFonts w:asciiTheme="minorHAnsi" w:eastAsiaTheme="minorEastAsia" w:hAnsiTheme="minorHAnsi" w:cstheme="minorBidi"/>
              <w:b w:val="0"/>
              <w:bCs w:val="0"/>
              <w:caps w:val="0"/>
              <w:sz w:val="24"/>
              <w:szCs w:val="24"/>
              <w:lang w:val="en-US" w:eastAsia="en-US"/>
            </w:rPr>
          </w:pPr>
          <w:hyperlink w:anchor="_Toc517765949" w:history="1">
            <w:r w:rsidRPr="005740FD">
              <w:rPr>
                <w:rStyle w:val="Hyperlink"/>
              </w:rPr>
              <w:t>V.</w:t>
            </w:r>
            <w:r>
              <w:rPr>
                <w:rFonts w:asciiTheme="minorHAnsi" w:eastAsiaTheme="minorEastAsia" w:hAnsiTheme="minorHAnsi" w:cstheme="minorBidi"/>
                <w:b w:val="0"/>
                <w:bCs w:val="0"/>
                <w:caps w:val="0"/>
                <w:sz w:val="24"/>
                <w:szCs w:val="24"/>
                <w:lang w:val="en-US" w:eastAsia="en-US"/>
              </w:rPr>
              <w:tab/>
            </w:r>
            <w:r w:rsidRPr="005740FD">
              <w:rPr>
                <w:rStyle w:val="Hyperlink"/>
              </w:rPr>
              <w:t>ECONOMIC AND FINANCIAL EFFICIENCY OF RESIDENCE PERMITS FOR FOREIGN INVESTORS</w:t>
            </w:r>
            <w:r>
              <w:rPr>
                <w:webHidden/>
              </w:rPr>
              <w:tab/>
            </w:r>
            <w:r>
              <w:rPr>
                <w:webHidden/>
              </w:rPr>
              <w:fldChar w:fldCharType="begin"/>
            </w:r>
            <w:r>
              <w:rPr>
                <w:webHidden/>
              </w:rPr>
              <w:instrText xml:space="preserve"> PAGEREF _Toc517765949 \h </w:instrText>
            </w:r>
            <w:r>
              <w:rPr>
                <w:webHidden/>
              </w:rPr>
            </w:r>
            <w:r>
              <w:rPr>
                <w:webHidden/>
              </w:rPr>
              <w:fldChar w:fldCharType="separate"/>
            </w:r>
            <w:r>
              <w:rPr>
                <w:webHidden/>
              </w:rPr>
              <w:t>34</w:t>
            </w:r>
            <w:r>
              <w:rPr>
                <w:webHidden/>
              </w:rPr>
              <w:fldChar w:fldCharType="end"/>
            </w:r>
          </w:hyperlink>
        </w:p>
        <w:p w14:paraId="713B2655" w14:textId="7BD85213" w:rsidR="00F90C45" w:rsidRPr="00523824" w:rsidRDefault="00F90C45">
          <w:pPr>
            <w:rPr>
              <w:lang w:val="en-GB"/>
            </w:rPr>
          </w:pPr>
          <w:r w:rsidRPr="00523824">
            <w:rPr>
              <w:b/>
              <w:bCs/>
              <w:noProof/>
              <w:lang w:val="en-GB"/>
            </w:rPr>
            <w:fldChar w:fldCharType="end"/>
          </w:r>
        </w:p>
      </w:sdtContent>
    </w:sdt>
    <w:p w14:paraId="775A18C2" w14:textId="77777777" w:rsidR="003F42A4" w:rsidRPr="00523824" w:rsidRDefault="003F42A4" w:rsidP="001F14FD">
      <w:pPr>
        <w:rPr>
          <w:sz w:val="22"/>
          <w:lang w:val="en-GB"/>
        </w:rPr>
      </w:pPr>
    </w:p>
    <w:p w14:paraId="59A46620" w14:textId="77777777" w:rsidR="003F42A4" w:rsidRPr="00523824" w:rsidRDefault="003F42A4" w:rsidP="001F14FD">
      <w:pPr>
        <w:rPr>
          <w:sz w:val="22"/>
          <w:lang w:val="en-GB"/>
        </w:rPr>
      </w:pPr>
    </w:p>
    <w:p w14:paraId="4BBEC8D9" w14:textId="2E4D1B7A" w:rsidR="006B5ED7" w:rsidRDefault="006B5ED7" w:rsidP="00947E0C">
      <w:pPr>
        <w:rPr>
          <w:sz w:val="22"/>
          <w:lang w:val="en-GB"/>
        </w:rPr>
      </w:pPr>
      <w:bookmarkStart w:id="1" w:name="_Toc126474778"/>
    </w:p>
    <w:p w14:paraId="5F23D463" w14:textId="77777777" w:rsidR="006B5ED7" w:rsidRDefault="006B5ED7">
      <w:pPr>
        <w:rPr>
          <w:sz w:val="22"/>
          <w:lang w:val="en-GB"/>
        </w:rPr>
      </w:pPr>
      <w:r>
        <w:rPr>
          <w:sz w:val="22"/>
          <w:lang w:val="en-GB"/>
        </w:rPr>
        <w:br w:type="page"/>
      </w:r>
    </w:p>
    <w:p w14:paraId="285DB748" w14:textId="049BAB9E" w:rsidR="006B5ED7" w:rsidRDefault="006B5ED7" w:rsidP="00947E0C">
      <w:pPr>
        <w:rPr>
          <w:sz w:val="22"/>
          <w:lang w:val="en-GB"/>
        </w:rPr>
      </w:pPr>
    </w:p>
    <w:p w14:paraId="63138258" w14:textId="77777777" w:rsidR="006B5ED7" w:rsidRDefault="006B5ED7">
      <w:pPr>
        <w:rPr>
          <w:sz w:val="22"/>
          <w:lang w:val="en-GB"/>
        </w:rPr>
      </w:pPr>
      <w:r>
        <w:rPr>
          <w:sz w:val="22"/>
          <w:lang w:val="en-GB"/>
        </w:rPr>
        <w:br w:type="page"/>
      </w:r>
    </w:p>
    <w:p w14:paraId="6310550C" w14:textId="77777777" w:rsidR="001F14FD" w:rsidRPr="00947E0C" w:rsidRDefault="001F14FD" w:rsidP="00947E0C">
      <w:pPr>
        <w:rPr>
          <w:sz w:val="22"/>
          <w:lang w:val="en-GB"/>
        </w:rPr>
        <w:sectPr w:rsidR="001F14FD" w:rsidRPr="00947E0C" w:rsidSect="00351E21">
          <w:pgSz w:w="11906" w:h="16838" w:code="9"/>
          <w:pgMar w:top="1418" w:right="1418" w:bottom="1418" w:left="1418" w:header="709" w:footer="709" w:gutter="0"/>
          <w:cols w:space="708"/>
          <w:docGrid w:linePitch="360"/>
        </w:sectPr>
      </w:pPr>
    </w:p>
    <w:p w14:paraId="68E183E5" w14:textId="77777777" w:rsidR="00AC2EEB" w:rsidRPr="00523824" w:rsidRDefault="00AC2EEB" w:rsidP="002D1370">
      <w:pPr>
        <w:pStyle w:val="MH1nonumb"/>
        <w:numPr>
          <w:ilvl w:val="0"/>
          <w:numId w:val="10"/>
        </w:numPr>
        <w:spacing w:after="0"/>
        <w:ind w:left="426" w:hanging="284"/>
      </w:pPr>
      <w:bookmarkStart w:id="2" w:name="_Toc496025532"/>
      <w:bookmarkStart w:id="3" w:name="_Toc496124919"/>
      <w:bookmarkStart w:id="4" w:name="_Toc517765938"/>
      <w:bookmarkEnd w:id="1"/>
      <w:r w:rsidRPr="00523824">
        <w:lastRenderedPageBreak/>
        <w:t>GENERAL BACKGROUND</w:t>
      </w:r>
      <w:bookmarkEnd w:id="2"/>
      <w:bookmarkEnd w:id="3"/>
      <w:bookmarkEnd w:id="4"/>
    </w:p>
    <w:p w14:paraId="6AA36BCC" w14:textId="77777777" w:rsidR="001D7DA5" w:rsidRPr="00523824" w:rsidRDefault="001D7DA5" w:rsidP="002D1370">
      <w:pPr>
        <w:jc w:val="both"/>
        <w:rPr>
          <w:i/>
          <w:color w:val="FF0000"/>
          <w:sz w:val="22"/>
          <w:szCs w:val="22"/>
          <w:lang w:val="en-GB"/>
        </w:rPr>
      </w:pPr>
    </w:p>
    <w:p w14:paraId="41271D7A" w14:textId="22ED7FFD" w:rsidR="001D7DA5" w:rsidRDefault="001D7DA5" w:rsidP="002D1370">
      <w:pPr>
        <w:pStyle w:val="MMultilevel"/>
        <w:rPr>
          <w:i/>
          <w:color w:val="FF0000"/>
          <w:lang w:val="en-GB"/>
        </w:rPr>
      </w:pPr>
      <w:r w:rsidRPr="00523824">
        <w:rPr>
          <w:b/>
          <w:i/>
          <w:color w:val="000000" w:themeColor="text1"/>
          <w:lang w:val="en-GB"/>
        </w:rPr>
        <w:t>Legal background</w:t>
      </w:r>
    </w:p>
    <w:p w14:paraId="4F44189A" w14:textId="77777777" w:rsidR="007974C6" w:rsidRDefault="007974C6" w:rsidP="002D1370">
      <w:pPr>
        <w:pStyle w:val="MMultilevel"/>
        <w:numPr>
          <w:ilvl w:val="0"/>
          <w:numId w:val="0"/>
        </w:numPr>
        <w:rPr>
          <w:lang w:val="en-GB"/>
        </w:rPr>
      </w:pPr>
    </w:p>
    <w:p w14:paraId="0272D0FA" w14:textId="3E954FA3" w:rsidR="00D831D3" w:rsidRDefault="007974C6" w:rsidP="007A36A3">
      <w:pPr>
        <w:pStyle w:val="MMultilevel"/>
        <w:numPr>
          <w:ilvl w:val="0"/>
          <w:numId w:val="0"/>
        </w:numPr>
        <w:rPr>
          <w:lang w:val="en-GB"/>
        </w:rPr>
      </w:pPr>
      <w:r>
        <w:rPr>
          <w:lang w:val="en-GB"/>
        </w:rPr>
        <w:t>The legal basis for the acquisition of Maltese residency by investment is Legal Notice 288 of 2015, the Malta Residence and Visa Programme Regulations (LN 288/2015)</w:t>
      </w:r>
      <w:r>
        <w:rPr>
          <w:rStyle w:val="FootnoteReference"/>
          <w:lang w:val="en-GB"/>
        </w:rPr>
        <w:footnoteReference w:id="1"/>
      </w:r>
      <w:r>
        <w:rPr>
          <w:lang w:val="en-GB"/>
        </w:rPr>
        <w:t xml:space="preserve"> adopted under Malta’s Immigration Act</w:t>
      </w:r>
      <w:r w:rsidR="00DE4431">
        <w:rPr>
          <w:lang w:val="en-GB"/>
        </w:rPr>
        <w:t>.</w:t>
      </w:r>
      <w:r>
        <w:rPr>
          <w:rStyle w:val="FootnoteReference"/>
          <w:lang w:val="en-GB"/>
        </w:rPr>
        <w:footnoteReference w:id="2"/>
      </w:r>
      <w:r w:rsidR="00A62C80">
        <w:rPr>
          <w:lang w:val="en-GB"/>
        </w:rPr>
        <w:t xml:space="preserve"> </w:t>
      </w:r>
      <w:r w:rsidR="00D831D3">
        <w:rPr>
          <w:lang w:val="en-GB"/>
        </w:rPr>
        <w:t xml:space="preserve">The adoption of </w:t>
      </w:r>
      <w:r w:rsidR="001123F3">
        <w:rPr>
          <w:lang w:val="en-GB"/>
        </w:rPr>
        <w:t>the regulations</w:t>
      </w:r>
      <w:r w:rsidR="00D831D3">
        <w:rPr>
          <w:lang w:val="en-GB"/>
        </w:rPr>
        <w:t xml:space="preserve"> </w:t>
      </w:r>
      <w:r w:rsidR="00ED09CA">
        <w:rPr>
          <w:lang w:val="en-GB"/>
        </w:rPr>
        <w:t xml:space="preserve">followed the standard procedures for the issuance of </w:t>
      </w:r>
      <w:r w:rsidR="001123F3">
        <w:rPr>
          <w:lang w:val="en-GB"/>
        </w:rPr>
        <w:t>L</w:t>
      </w:r>
      <w:r w:rsidR="00ED09CA">
        <w:rPr>
          <w:lang w:val="en-GB"/>
        </w:rPr>
        <w:t xml:space="preserve">egal </w:t>
      </w:r>
      <w:r w:rsidR="001123F3">
        <w:rPr>
          <w:lang w:val="en-GB"/>
        </w:rPr>
        <w:t>N</w:t>
      </w:r>
      <w:r w:rsidR="00ED09CA">
        <w:rPr>
          <w:lang w:val="en-GB"/>
        </w:rPr>
        <w:t xml:space="preserve">otices in Malta, including discussion of </w:t>
      </w:r>
      <w:r w:rsidR="001123F3">
        <w:rPr>
          <w:lang w:val="en-GB"/>
        </w:rPr>
        <w:t xml:space="preserve">the </w:t>
      </w:r>
      <w:r w:rsidR="00ED09CA">
        <w:rPr>
          <w:lang w:val="en-GB"/>
        </w:rPr>
        <w:t xml:space="preserve">draft legislation with the opposition, stakeholders and parliamentary deliberation. Unlike in the case of the </w:t>
      </w:r>
      <w:r w:rsidR="00530354">
        <w:rPr>
          <w:lang w:val="en-GB"/>
        </w:rPr>
        <w:t xml:space="preserve">2014 </w:t>
      </w:r>
      <w:r w:rsidR="00ED09CA">
        <w:t xml:space="preserve">Individual Investor </w:t>
      </w:r>
      <w:proofErr w:type="spellStart"/>
      <w:r w:rsidR="00ED09CA">
        <w:t>Programme</w:t>
      </w:r>
      <w:proofErr w:type="spellEnd"/>
      <w:r w:rsidR="00ED09CA">
        <w:t xml:space="preserve">, there was no major public debate </w:t>
      </w:r>
      <w:r w:rsidR="00530354">
        <w:t xml:space="preserve">related to </w:t>
      </w:r>
      <w:r w:rsidR="001123F3">
        <w:rPr>
          <w:lang w:val="en-GB"/>
        </w:rPr>
        <w:t xml:space="preserve">the </w:t>
      </w:r>
      <w:r w:rsidR="001123F3" w:rsidRPr="00825CC1">
        <w:rPr>
          <w:b/>
          <w:lang w:val="en-GB"/>
        </w:rPr>
        <w:t>Malta Residence and Visa Programme (</w:t>
      </w:r>
      <w:r w:rsidR="00530354" w:rsidRPr="00825CC1">
        <w:rPr>
          <w:b/>
        </w:rPr>
        <w:t>MRVP</w:t>
      </w:r>
      <w:r w:rsidR="001123F3" w:rsidRPr="00825CC1">
        <w:rPr>
          <w:b/>
        </w:rPr>
        <w:t>)</w:t>
      </w:r>
      <w:r w:rsidR="00530354" w:rsidRPr="00825CC1">
        <w:rPr>
          <w:b/>
        </w:rPr>
        <w:t xml:space="preserve"> </w:t>
      </w:r>
      <w:r w:rsidR="00ED09CA">
        <w:t>within Malta, or internationally.</w:t>
      </w:r>
      <w:r w:rsidR="00ED09CA">
        <w:rPr>
          <w:rStyle w:val="FootnoteReference"/>
        </w:rPr>
        <w:footnoteReference w:id="3"/>
      </w:r>
    </w:p>
    <w:p w14:paraId="4C545D87" w14:textId="77777777" w:rsidR="00D831D3" w:rsidRDefault="00D831D3" w:rsidP="007A36A3">
      <w:pPr>
        <w:pStyle w:val="MMultilevel"/>
        <w:numPr>
          <w:ilvl w:val="0"/>
          <w:numId w:val="0"/>
        </w:numPr>
        <w:rPr>
          <w:lang w:val="en-GB"/>
        </w:rPr>
      </w:pPr>
    </w:p>
    <w:p w14:paraId="11381EC5" w14:textId="4BED2F06" w:rsidR="007A36A3" w:rsidRDefault="007A36A3" w:rsidP="007A36A3">
      <w:pPr>
        <w:pStyle w:val="MMultilevel"/>
        <w:numPr>
          <w:ilvl w:val="0"/>
          <w:numId w:val="0"/>
        </w:numPr>
        <w:rPr>
          <w:lang w:val="en-GB"/>
        </w:rPr>
      </w:pPr>
      <w:r>
        <w:rPr>
          <w:lang w:val="en-GB"/>
        </w:rPr>
        <w:t xml:space="preserve">Beneficiaries of the </w:t>
      </w:r>
      <w:r w:rsidR="00D831D3" w:rsidRPr="00825CC1">
        <w:rPr>
          <w:lang w:val="en-GB"/>
        </w:rPr>
        <w:t>MRVP</w:t>
      </w:r>
      <w:r>
        <w:rPr>
          <w:lang w:val="en-GB"/>
        </w:rPr>
        <w:t xml:space="preserve"> obtain a certificate entitling them to</w:t>
      </w:r>
      <w:r w:rsidRPr="00886975">
        <w:rPr>
          <w:lang w:val="en-GB"/>
        </w:rPr>
        <w:t xml:space="preserve"> reside, settle, or stay indefinitely in Malta</w:t>
      </w:r>
      <w:r>
        <w:rPr>
          <w:lang w:val="en-GB"/>
        </w:rPr>
        <w:t>. In the first five years, the applicant’s entitlement to reside in Malta in view of the programme’s conditions is monitored annually. Thereafter, it is monitored every five years.</w:t>
      </w:r>
    </w:p>
    <w:p w14:paraId="310129AF" w14:textId="77777777" w:rsidR="007A36A3" w:rsidRDefault="007A36A3" w:rsidP="007A36A3">
      <w:pPr>
        <w:pStyle w:val="MMultilevel"/>
        <w:numPr>
          <w:ilvl w:val="0"/>
          <w:numId w:val="0"/>
        </w:numPr>
        <w:rPr>
          <w:lang w:val="en-GB"/>
        </w:rPr>
      </w:pPr>
    </w:p>
    <w:p w14:paraId="14A8E84E" w14:textId="1093D639" w:rsidR="007A36A3" w:rsidRPr="009C6E5F" w:rsidRDefault="00D831D3" w:rsidP="007A36A3">
      <w:pPr>
        <w:pStyle w:val="MMultilevel"/>
        <w:numPr>
          <w:ilvl w:val="0"/>
          <w:numId w:val="0"/>
        </w:numPr>
        <w:rPr>
          <w:lang w:val="en-GB"/>
        </w:rPr>
      </w:pPr>
      <w:r>
        <w:rPr>
          <w:lang w:val="en-GB"/>
        </w:rPr>
        <w:t xml:space="preserve">MRVP </w:t>
      </w:r>
      <w:r w:rsidR="007A36A3" w:rsidRPr="001F38F2">
        <w:rPr>
          <w:lang w:val="en-GB"/>
        </w:rPr>
        <w:t>is open to individuals who do not have a nationality of the European Economic Area (hence excluding citizens of the European Union, Iceland, Norway, Lichtenstein) or Switzerland. Due to security reasons, the scheme is not open to</w:t>
      </w:r>
      <w:r w:rsidR="007A36A3">
        <w:rPr>
          <w:lang w:val="en-GB"/>
        </w:rPr>
        <w:t xml:space="preserve"> nationals of</w:t>
      </w:r>
      <w:r w:rsidR="007A36A3" w:rsidRPr="001F38F2">
        <w:rPr>
          <w:lang w:val="en-GB"/>
        </w:rPr>
        <w:t xml:space="preserve"> Afghanistan and</w:t>
      </w:r>
      <w:r w:rsidR="007A36A3">
        <w:rPr>
          <w:lang w:val="en-GB"/>
        </w:rPr>
        <w:t xml:space="preserve"> the</w:t>
      </w:r>
      <w:r w:rsidR="007A36A3" w:rsidRPr="001F38F2">
        <w:rPr>
          <w:lang w:val="en-GB"/>
        </w:rPr>
        <w:t xml:space="preserve"> Democratic People’s Republic of Korea</w:t>
      </w:r>
      <w:r w:rsidR="007A36A3">
        <w:rPr>
          <w:lang w:val="en-GB"/>
        </w:rPr>
        <w:t xml:space="preserve"> and ‘</w:t>
      </w:r>
      <w:r w:rsidR="007A36A3" w:rsidRPr="001F38F2">
        <w:rPr>
          <w:lang w:val="en-GB"/>
        </w:rPr>
        <w:t xml:space="preserve">applications from other countries may also be excluded in accordance with </w:t>
      </w:r>
      <w:r w:rsidR="007A36A3" w:rsidRPr="009C6E5F">
        <w:rPr>
          <w:lang w:val="en-GB"/>
        </w:rPr>
        <w:t>Government policies’.</w:t>
      </w:r>
      <w:r w:rsidR="007A36A3" w:rsidRPr="009C6E5F">
        <w:rPr>
          <w:rStyle w:val="FootnoteReference"/>
          <w:lang w:val="en-GB"/>
        </w:rPr>
        <w:footnoteReference w:id="4"/>
      </w:r>
      <w:r w:rsidR="007A36A3" w:rsidRPr="009C6E5F">
        <w:rPr>
          <w:lang w:val="en-GB"/>
        </w:rPr>
        <w:t xml:space="preserve"> </w:t>
      </w:r>
    </w:p>
    <w:p w14:paraId="128E0BFF" w14:textId="7A6E021F" w:rsidR="00D831D3" w:rsidRPr="000112D6" w:rsidRDefault="00D831D3" w:rsidP="007A36A3">
      <w:pPr>
        <w:pStyle w:val="MMultilevel"/>
        <w:numPr>
          <w:ilvl w:val="0"/>
          <w:numId w:val="0"/>
        </w:numPr>
        <w:rPr>
          <w:lang w:val="en-GB"/>
        </w:rPr>
      </w:pPr>
    </w:p>
    <w:p w14:paraId="1AA1E20C" w14:textId="33C3E4F0" w:rsidR="002F04B4" w:rsidRPr="009C6E5F" w:rsidRDefault="00E56932" w:rsidP="00E56932">
      <w:pPr>
        <w:pStyle w:val="MMultilevel"/>
        <w:numPr>
          <w:ilvl w:val="0"/>
          <w:numId w:val="0"/>
        </w:numPr>
        <w:rPr>
          <w:lang w:val="en-GB"/>
        </w:rPr>
      </w:pPr>
      <w:r w:rsidRPr="000112D6">
        <w:rPr>
          <w:bCs w:val="0"/>
          <w:lang w:val="en-GB"/>
        </w:rPr>
        <w:t>While the</w:t>
      </w:r>
      <w:r w:rsidRPr="00FF6386">
        <w:rPr>
          <w:bCs w:val="0"/>
          <w:lang w:val="en-GB"/>
        </w:rPr>
        <w:t xml:space="preserve"> MRVP is the </w:t>
      </w:r>
      <w:r w:rsidRPr="00C223FA">
        <w:rPr>
          <w:bCs w:val="0"/>
          <w:lang w:val="en-GB"/>
        </w:rPr>
        <w:t xml:space="preserve">main focus of this report, the provisions of </w:t>
      </w:r>
      <w:r w:rsidR="006479AC" w:rsidRPr="00C223FA">
        <w:rPr>
          <w:lang w:val="en-GB"/>
        </w:rPr>
        <w:t>Legal Notice 167 of 2013, the</w:t>
      </w:r>
      <w:r w:rsidR="00A15182" w:rsidRPr="00C223FA">
        <w:rPr>
          <w:lang w:val="en-GB"/>
        </w:rPr>
        <w:t xml:space="preserve"> Global Residence Programme Rules (LN 167/2013)</w:t>
      </w:r>
      <w:r w:rsidR="00A15182" w:rsidRPr="00C223FA">
        <w:rPr>
          <w:rStyle w:val="FootnoteReference"/>
          <w:lang w:val="en-GB"/>
        </w:rPr>
        <w:footnoteReference w:id="5"/>
      </w:r>
      <w:r w:rsidR="00A15182" w:rsidRPr="00C223FA">
        <w:rPr>
          <w:lang w:val="en-GB"/>
        </w:rPr>
        <w:t xml:space="preserve"> </w:t>
      </w:r>
      <w:r w:rsidRPr="00C223FA">
        <w:rPr>
          <w:lang w:val="en-GB"/>
        </w:rPr>
        <w:t>are also described. LN 167/2013 was adopted under Malta’s Income Tax Act.</w:t>
      </w:r>
      <w:r w:rsidRPr="00C223FA">
        <w:rPr>
          <w:rStyle w:val="FootnoteReference"/>
          <w:lang w:val="en-GB"/>
        </w:rPr>
        <w:footnoteReference w:id="6"/>
      </w:r>
      <w:r w:rsidRPr="00C223FA">
        <w:rPr>
          <w:lang w:val="en-GB"/>
        </w:rPr>
        <w:t xml:space="preserve"> It </w:t>
      </w:r>
      <w:r w:rsidR="00A15182" w:rsidRPr="00C223FA">
        <w:rPr>
          <w:lang w:val="en-GB"/>
        </w:rPr>
        <w:t xml:space="preserve">introduced the </w:t>
      </w:r>
      <w:r w:rsidR="00A15182" w:rsidRPr="00C223FA">
        <w:rPr>
          <w:b/>
          <w:lang w:val="en-GB"/>
        </w:rPr>
        <w:t>Global Residence Programme (GRP</w:t>
      </w:r>
      <w:r w:rsidR="0069746B" w:rsidRPr="00C223FA">
        <w:rPr>
          <w:b/>
          <w:lang w:val="en-GB"/>
        </w:rPr>
        <w:t>)</w:t>
      </w:r>
      <w:r w:rsidR="0069746B" w:rsidRPr="00C223FA">
        <w:rPr>
          <w:lang w:val="en-GB"/>
        </w:rPr>
        <w:t xml:space="preserve"> that </w:t>
      </w:r>
      <w:r w:rsidR="00A15182" w:rsidRPr="00C223FA">
        <w:rPr>
          <w:lang w:val="en-GB"/>
        </w:rPr>
        <w:t>result</w:t>
      </w:r>
      <w:r w:rsidR="0069746B" w:rsidRPr="00C223FA">
        <w:rPr>
          <w:lang w:val="en-GB"/>
        </w:rPr>
        <w:t>s</w:t>
      </w:r>
      <w:r w:rsidR="00A15182" w:rsidRPr="00C223FA">
        <w:rPr>
          <w:lang w:val="en-GB"/>
        </w:rPr>
        <w:t xml:space="preserve"> in a </w:t>
      </w:r>
      <w:r w:rsidR="00A15182" w:rsidRPr="00E3343A">
        <w:rPr>
          <w:b/>
          <w:lang w:val="en-GB"/>
        </w:rPr>
        <w:t>special tax status</w:t>
      </w:r>
      <w:r w:rsidR="00B016E9" w:rsidRPr="00C223FA">
        <w:rPr>
          <w:lang w:val="en-GB"/>
        </w:rPr>
        <w:t xml:space="preserve"> </w:t>
      </w:r>
      <w:r w:rsidR="00780EF9" w:rsidRPr="00C223FA">
        <w:rPr>
          <w:lang w:val="en-GB"/>
        </w:rPr>
        <w:t>for third country national beneficiaries</w:t>
      </w:r>
      <w:r w:rsidR="00B57117">
        <w:rPr>
          <w:lang w:val="en-GB"/>
        </w:rPr>
        <w:t>. The GRP</w:t>
      </w:r>
      <w:r w:rsidR="00B016E9" w:rsidRPr="00C223FA">
        <w:rPr>
          <w:lang w:val="en-GB"/>
        </w:rPr>
        <w:t xml:space="preserve"> </w:t>
      </w:r>
      <w:r w:rsidR="00B016E9" w:rsidRPr="00E3343A">
        <w:rPr>
          <w:b/>
          <w:lang w:val="en-GB"/>
        </w:rPr>
        <w:t>does not in itself grant residence rights</w:t>
      </w:r>
      <w:r w:rsidR="00B016E9" w:rsidRPr="00C223FA">
        <w:rPr>
          <w:lang w:val="en-GB"/>
        </w:rPr>
        <w:t xml:space="preserve"> to </w:t>
      </w:r>
      <w:r w:rsidR="00B57117">
        <w:rPr>
          <w:lang w:val="en-GB"/>
        </w:rPr>
        <w:t>its</w:t>
      </w:r>
      <w:r w:rsidR="00B57117" w:rsidRPr="00C223FA">
        <w:rPr>
          <w:lang w:val="en-GB"/>
        </w:rPr>
        <w:t xml:space="preserve"> </w:t>
      </w:r>
      <w:r w:rsidR="00B016E9" w:rsidRPr="00C223FA">
        <w:rPr>
          <w:lang w:val="en-GB"/>
        </w:rPr>
        <w:t>beneficiaries</w:t>
      </w:r>
      <w:r w:rsidR="00AC07C8">
        <w:rPr>
          <w:lang w:val="en-GB"/>
        </w:rPr>
        <w:t xml:space="preserve">, </w:t>
      </w:r>
      <w:r w:rsidR="00B57117">
        <w:t xml:space="preserve">even though the </w:t>
      </w:r>
      <w:proofErr w:type="spellStart"/>
      <w:r w:rsidR="00B57117">
        <w:t>programme’s</w:t>
      </w:r>
      <w:proofErr w:type="spellEnd"/>
      <w:r w:rsidR="00B57117">
        <w:t xml:space="preserve"> official title contains the word ‘residence’ that is misleading</w:t>
      </w:r>
      <w:r w:rsidR="00B57117">
        <w:rPr>
          <w:lang w:val="en-GB"/>
        </w:rPr>
        <w:t>.</w:t>
      </w:r>
    </w:p>
    <w:p w14:paraId="58F6AD22" w14:textId="77777777" w:rsidR="00701CD6" w:rsidRPr="009C6E5F" w:rsidRDefault="00701CD6" w:rsidP="007865F9">
      <w:pPr>
        <w:pStyle w:val="MBT"/>
        <w:rPr>
          <w:lang w:val="en-GB"/>
        </w:rPr>
      </w:pPr>
    </w:p>
    <w:p w14:paraId="6918B183" w14:textId="0A95E31B" w:rsidR="00701CD6" w:rsidRPr="00346D85" w:rsidRDefault="00701CD6" w:rsidP="002F1880">
      <w:pPr>
        <w:pStyle w:val="MBT"/>
      </w:pPr>
      <w:r w:rsidRPr="009C6E5F">
        <w:rPr>
          <w:lang w:val="en-GB"/>
        </w:rPr>
        <w:t>Beneficiaries of the GRP can apply for a res</w:t>
      </w:r>
      <w:r w:rsidRPr="00346D85">
        <w:rPr>
          <w:lang w:val="en-GB"/>
        </w:rPr>
        <w:t>idence certificate under the MRVP if they satisfy the additional eligibility requirements of LN 288/2015.</w:t>
      </w:r>
      <w:r w:rsidR="00825CC1" w:rsidRPr="00346D85">
        <w:rPr>
          <w:rStyle w:val="FootnoteReference"/>
          <w:lang w:val="en-GB"/>
        </w:rPr>
        <w:footnoteReference w:id="7"/>
      </w:r>
      <w:r w:rsidR="00900DB6" w:rsidRPr="00346D85">
        <w:rPr>
          <w:lang w:val="en-GB"/>
        </w:rPr>
        <w:t xml:space="preserve"> </w:t>
      </w:r>
      <w:r w:rsidR="00346D85" w:rsidRPr="00346D85">
        <w:rPr>
          <w:lang w:val="en-GB"/>
        </w:rPr>
        <w:t xml:space="preserve">Alternatively, beneficiaries of the GRP may apply for a </w:t>
      </w:r>
      <w:r w:rsidR="00346D85" w:rsidRPr="007C0C0B">
        <w:rPr>
          <w:lang w:val="en-GB"/>
        </w:rPr>
        <w:t>uniform</w:t>
      </w:r>
      <w:r w:rsidR="00346D85" w:rsidRPr="00346D85">
        <w:rPr>
          <w:lang w:val="en-GB"/>
        </w:rPr>
        <w:t xml:space="preserve"> residence permit under</w:t>
      </w:r>
      <w:r w:rsidR="00346D85" w:rsidRPr="007C0C0B">
        <w:rPr>
          <w:lang w:val="en-GB"/>
        </w:rPr>
        <w:t xml:space="preserve"> Regulation 12 of the Immigration Regulations</w:t>
      </w:r>
      <w:r w:rsidR="00346D85" w:rsidRPr="00346D85">
        <w:rPr>
          <w:rStyle w:val="FootnoteReference"/>
          <w:lang w:val="en-GB"/>
        </w:rPr>
        <w:footnoteReference w:id="8"/>
      </w:r>
      <w:r w:rsidR="00346D85" w:rsidRPr="007C0C0B">
        <w:rPr>
          <w:lang w:val="en-GB"/>
        </w:rPr>
        <w:t xml:space="preserve"> </w:t>
      </w:r>
      <w:r w:rsidR="00346D85">
        <w:rPr>
          <w:lang w:val="en-GB"/>
        </w:rPr>
        <w:t>-</w:t>
      </w:r>
      <w:r w:rsidR="00346D85" w:rsidRPr="007C0C0B">
        <w:rPr>
          <w:lang w:val="en-GB"/>
        </w:rPr>
        <w:t xml:space="preserve"> subsidiary legislation issued under the Immigration Act. In accordance with Regulation 12(1) of the Immigration Regulations, </w:t>
      </w:r>
      <w:r w:rsidR="00346D85" w:rsidRPr="007C0C0B">
        <w:t xml:space="preserve">a third country national can reside in Malta if a uniform residence permit for a specific purpose is issued in his or her regard. Article 7 of the Immigration Act deals with the issuance of residence permits. </w:t>
      </w:r>
      <w:r w:rsidR="00346D85" w:rsidRPr="007C0C0B">
        <w:rPr>
          <w:lang w:val="en-GB"/>
        </w:rPr>
        <w:t>Further information is provided in point 3 of Section II below.</w:t>
      </w:r>
    </w:p>
    <w:p w14:paraId="34B09779" w14:textId="292797B8" w:rsidR="00A15182" w:rsidRPr="00ED2852" w:rsidRDefault="00A15182" w:rsidP="00A15182">
      <w:pPr>
        <w:pStyle w:val="MBT"/>
        <w:rPr>
          <w:lang w:val="en-GB"/>
        </w:rPr>
      </w:pPr>
    </w:p>
    <w:p w14:paraId="75AFDF8F" w14:textId="6832E0BA" w:rsidR="00A15182" w:rsidRPr="00523824" w:rsidRDefault="00594C82" w:rsidP="00A15182">
      <w:pPr>
        <w:pStyle w:val="MBT"/>
        <w:rPr>
          <w:lang w:val="en-GB"/>
        </w:rPr>
      </w:pPr>
      <w:r>
        <w:rPr>
          <w:lang w:val="en-GB"/>
        </w:rPr>
        <w:t>Finally,</w:t>
      </w:r>
      <w:r w:rsidR="00A15182">
        <w:rPr>
          <w:lang w:val="en-GB"/>
        </w:rPr>
        <w:t xml:space="preserve"> it is noted that </w:t>
      </w:r>
      <w:r w:rsidR="00A15182" w:rsidRPr="00F6121A">
        <w:rPr>
          <w:lang w:val="en-GB"/>
        </w:rPr>
        <w:t xml:space="preserve">Regulation 4 of </w:t>
      </w:r>
      <w:r w:rsidR="006479AC">
        <w:rPr>
          <w:lang w:val="en-GB"/>
        </w:rPr>
        <w:t>Legal Notice 47 of 2014,</w:t>
      </w:r>
      <w:r w:rsidR="00A15182">
        <w:rPr>
          <w:lang w:val="en-GB"/>
        </w:rPr>
        <w:t xml:space="preserve"> </w:t>
      </w:r>
      <w:r w:rsidR="001123F3">
        <w:rPr>
          <w:lang w:val="en-GB"/>
        </w:rPr>
        <w:t xml:space="preserve">the </w:t>
      </w:r>
      <w:r w:rsidR="00A15182">
        <w:t xml:space="preserve">Individual Investor </w:t>
      </w:r>
      <w:proofErr w:type="spellStart"/>
      <w:r w:rsidR="00A15182">
        <w:t>Programme</w:t>
      </w:r>
      <w:proofErr w:type="spellEnd"/>
      <w:r w:rsidR="00A15182">
        <w:t xml:space="preserve"> of the Republic of Malta Regulations</w:t>
      </w:r>
      <w:r w:rsidR="00A15182" w:rsidRPr="00F6121A">
        <w:rPr>
          <w:lang w:val="en-GB"/>
        </w:rPr>
        <w:t xml:space="preserve"> </w:t>
      </w:r>
      <w:r w:rsidR="00A15182">
        <w:rPr>
          <w:lang w:val="en-GB"/>
        </w:rPr>
        <w:t>(LN 47/</w:t>
      </w:r>
      <w:r w:rsidR="00A15182" w:rsidRPr="00F6121A">
        <w:rPr>
          <w:lang w:val="en-GB"/>
        </w:rPr>
        <w:t>2014</w:t>
      </w:r>
      <w:r w:rsidR="00A15182">
        <w:rPr>
          <w:lang w:val="en-GB"/>
        </w:rPr>
        <w:t>)</w:t>
      </w:r>
      <w:r w:rsidR="006479AC">
        <w:rPr>
          <w:rStyle w:val="FootnoteReference"/>
          <w:lang w:val="en-GB"/>
        </w:rPr>
        <w:footnoteReference w:id="9"/>
      </w:r>
      <w:r w:rsidR="00A15182">
        <w:rPr>
          <w:lang w:val="en-GB"/>
        </w:rPr>
        <w:t xml:space="preserve"> stipulates that ‘</w:t>
      </w:r>
      <w:r w:rsidR="00A15182" w:rsidRPr="00333E0D">
        <w:rPr>
          <w:lang w:val="en-GB"/>
        </w:rPr>
        <w:t>beneficiaries of the Global Residence</w:t>
      </w:r>
      <w:r w:rsidR="00A15182">
        <w:rPr>
          <w:lang w:val="en-GB"/>
        </w:rPr>
        <w:t xml:space="preserve"> </w:t>
      </w:r>
      <w:r w:rsidR="00A15182" w:rsidRPr="00333E0D">
        <w:rPr>
          <w:lang w:val="en-GB"/>
        </w:rPr>
        <w:lastRenderedPageBreak/>
        <w:t>Programme provided for under the Income Tax Act shall be allowed</w:t>
      </w:r>
      <w:r w:rsidR="00A15182">
        <w:rPr>
          <w:lang w:val="en-GB"/>
        </w:rPr>
        <w:t xml:space="preserve"> </w:t>
      </w:r>
      <w:r w:rsidR="00A15182" w:rsidRPr="00333E0D">
        <w:rPr>
          <w:lang w:val="en-GB"/>
        </w:rPr>
        <w:t>to apply for the Individual Investor Programme subject to satisfying</w:t>
      </w:r>
      <w:r w:rsidR="00A15182">
        <w:rPr>
          <w:lang w:val="en-GB"/>
        </w:rPr>
        <w:t xml:space="preserve"> </w:t>
      </w:r>
      <w:r w:rsidR="00A15182" w:rsidRPr="00333E0D">
        <w:rPr>
          <w:lang w:val="en-GB"/>
        </w:rPr>
        <w:t>all the additional eligibilit</w:t>
      </w:r>
      <w:r w:rsidR="00A15182">
        <w:rPr>
          <w:lang w:val="en-GB"/>
        </w:rPr>
        <w:t>y requirements of the Programme’. The Individual Investor Programme is explained in detail in Deliverable B</w:t>
      </w:r>
      <w:r w:rsidR="006479AC">
        <w:rPr>
          <w:lang w:val="en-GB"/>
        </w:rPr>
        <w:t>I</w:t>
      </w:r>
      <w:r w:rsidR="00A15182">
        <w:rPr>
          <w:lang w:val="en-GB"/>
        </w:rPr>
        <w:t xml:space="preserve"> for Malta.</w:t>
      </w:r>
    </w:p>
    <w:p w14:paraId="4FDF942B" w14:textId="11F30CF0" w:rsidR="007974C6" w:rsidRPr="00523824" w:rsidRDefault="00F6121A" w:rsidP="00825CC1">
      <w:pPr>
        <w:pStyle w:val="MBT"/>
      </w:pPr>
      <w:r>
        <w:rPr>
          <w:lang w:val="en-GB"/>
        </w:rPr>
        <w:t xml:space="preserve"> </w:t>
      </w:r>
    </w:p>
    <w:p w14:paraId="14A29D13" w14:textId="00D188E7" w:rsidR="001D7DA5" w:rsidRPr="00523824" w:rsidRDefault="001D7DA5" w:rsidP="003B3938">
      <w:pPr>
        <w:pStyle w:val="MMultilevel"/>
        <w:rPr>
          <w:i/>
          <w:color w:val="FF0000"/>
          <w:lang w:val="en-GB"/>
        </w:rPr>
      </w:pPr>
      <w:r w:rsidRPr="00523824">
        <w:rPr>
          <w:b/>
          <w:i/>
          <w:color w:val="000000" w:themeColor="text1"/>
          <w:lang w:val="en-GB"/>
        </w:rPr>
        <w:t>Competent authorities</w:t>
      </w:r>
    </w:p>
    <w:p w14:paraId="01EB2F4F" w14:textId="02637535" w:rsidR="007E4F06" w:rsidRDefault="007E4F06" w:rsidP="007E4F06">
      <w:pPr>
        <w:pStyle w:val="MBT"/>
        <w:rPr>
          <w:lang w:val="en-GB"/>
        </w:rPr>
      </w:pPr>
    </w:p>
    <w:p w14:paraId="3C942295" w14:textId="60F6AA6C" w:rsidR="0094376B" w:rsidRPr="00C83D3F" w:rsidRDefault="0094376B" w:rsidP="00C83D3F">
      <w:pPr>
        <w:pStyle w:val="MBT"/>
        <w:numPr>
          <w:ilvl w:val="0"/>
          <w:numId w:val="31"/>
        </w:numPr>
        <w:rPr>
          <w:b/>
          <w:lang w:val="en-GB"/>
        </w:rPr>
      </w:pPr>
      <w:r w:rsidRPr="00C83D3F">
        <w:rPr>
          <w:b/>
          <w:lang w:val="en-GB"/>
        </w:rPr>
        <w:t>MRVP</w:t>
      </w:r>
    </w:p>
    <w:p w14:paraId="42DAD131" w14:textId="77777777" w:rsidR="0094376B" w:rsidRDefault="0094376B" w:rsidP="007E4F06">
      <w:pPr>
        <w:pStyle w:val="MBT"/>
        <w:rPr>
          <w:lang w:val="en-GB"/>
        </w:rPr>
      </w:pPr>
    </w:p>
    <w:p w14:paraId="68BEE4C9" w14:textId="185DD1A5" w:rsidR="003D7C5D" w:rsidRDefault="00EF505C" w:rsidP="007E4F06">
      <w:pPr>
        <w:pStyle w:val="MBT"/>
        <w:rPr>
          <w:lang w:val="en-GB"/>
        </w:rPr>
      </w:pPr>
      <w:r>
        <w:rPr>
          <w:lang w:val="en-GB"/>
        </w:rPr>
        <w:t xml:space="preserve">The </w:t>
      </w:r>
      <w:r w:rsidR="00063DC0">
        <w:rPr>
          <w:lang w:val="en-GB"/>
        </w:rPr>
        <w:t xml:space="preserve">Parliamentary Secretary for Competitiveness and Economic Growth launched the </w:t>
      </w:r>
      <w:r w:rsidR="00DE4431">
        <w:rPr>
          <w:lang w:val="en-GB"/>
        </w:rPr>
        <w:t>MRVP</w:t>
      </w:r>
      <w:r>
        <w:rPr>
          <w:lang w:val="en-GB"/>
        </w:rPr>
        <w:t xml:space="preserve"> in 2015. </w:t>
      </w:r>
      <w:r w:rsidR="00FA2712">
        <w:rPr>
          <w:lang w:val="en-GB"/>
        </w:rPr>
        <w:t>As of 2017, the</w:t>
      </w:r>
      <w:r>
        <w:rPr>
          <w:lang w:val="en-GB"/>
        </w:rPr>
        <w:t xml:space="preserve"> </w:t>
      </w:r>
      <w:r w:rsidRPr="007865F9">
        <w:rPr>
          <w:b/>
          <w:lang w:val="en-GB"/>
        </w:rPr>
        <w:t>Malta Residence and Visa Agency</w:t>
      </w:r>
      <w:r>
        <w:rPr>
          <w:lang w:val="en-GB"/>
        </w:rPr>
        <w:t xml:space="preserve"> </w:t>
      </w:r>
      <w:r w:rsidRPr="00594C82">
        <w:rPr>
          <w:b/>
          <w:lang w:val="en-GB"/>
        </w:rPr>
        <w:t>(MRVA)</w:t>
      </w:r>
      <w:r>
        <w:rPr>
          <w:lang w:val="en-GB"/>
        </w:rPr>
        <w:t xml:space="preserve"> is entrusted with the regulation and running of the MRVP</w:t>
      </w:r>
      <w:r w:rsidR="00DE4431">
        <w:rPr>
          <w:lang w:val="en-GB"/>
        </w:rPr>
        <w:t>.</w:t>
      </w:r>
      <w:r w:rsidR="003C6B24">
        <w:rPr>
          <w:rStyle w:val="FootnoteReference"/>
          <w:lang w:val="en-GB"/>
        </w:rPr>
        <w:footnoteReference w:id="10"/>
      </w:r>
    </w:p>
    <w:p w14:paraId="6BABE501" w14:textId="77777777" w:rsidR="00C31FA0" w:rsidRDefault="00C31FA0" w:rsidP="007E4F06">
      <w:pPr>
        <w:pStyle w:val="MBT"/>
        <w:rPr>
          <w:lang w:val="en-GB"/>
        </w:rPr>
      </w:pPr>
    </w:p>
    <w:p w14:paraId="552374AC" w14:textId="77777777" w:rsidR="00FB2D83" w:rsidRDefault="00C31FA0" w:rsidP="00FB2D83">
      <w:pPr>
        <w:pStyle w:val="MBT"/>
        <w:rPr>
          <w:lang w:val="en-GB"/>
        </w:rPr>
      </w:pPr>
      <w:r>
        <w:rPr>
          <w:lang w:val="en-GB"/>
        </w:rPr>
        <w:t xml:space="preserve">The MRVA </w:t>
      </w:r>
      <w:r w:rsidR="00467E26">
        <w:rPr>
          <w:lang w:val="en-GB"/>
        </w:rPr>
        <w:t xml:space="preserve">was </w:t>
      </w:r>
      <w:r w:rsidR="008A300F">
        <w:rPr>
          <w:lang w:val="en-GB"/>
        </w:rPr>
        <w:t xml:space="preserve">originally </w:t>
      </w:r>
      <w:r w:rsidR="00FA2712">
        <w:rPr>
          <w:lang w:val="en-GB"/>
        </w:rPr>
        <w:t xml:space="preserve">set up by Legal Notice 107 of 2017, the </w:t>
      </w:r>
      <w:r w:rsidR="002358B8">
        <w:rPr>
          <w:lang w:val="en-GB"/>
        </w:rPr>
        <w:t>Malta Residency Visa (Establishment of an Agency) Order (LN 107/2017)</w:t>
      </w:r>
      <w:r w:rsidR="00467E26">
        <w:rPr>
          <w:lang w:val="en-GB"/>
        </w:rPr>
        <w:t>.</w:t>
      </w:r>
      <w:r w:rsidR="002358B8">
        <w:rPr>
          <w:rStyle w:val="FootnoteReference"/>
          <w:lang w:val="en-GB"/>
        </w:rPr>
        <w:footnoteReference w:id="11"/>
      </w:r>
      <w:r w:rsidR="00FA2712">
        <w:rPr>
          <w:lang w:val="en-GB"/>
        </w:rPr>
        <w:t xml:space="preserve"> </w:t>
      </w:r>
      <w:r w:rsidR="009373AD">
        <w:rPr>
          <w:color w:val="000000" w:themeColor="text1"/>
          <w:lang w:val="en-GB"/>
        </w:rPr>
        <w:t>On 29 March 2018, LN 107/</w:t>
      </w:r>
      <w:r w:rsidR="00467E26">
        <w:rPr>
          <w:color w:val="000000" w:themeColor="text1"/>
          <w:lang w:val="en-GB"/>
        </w:rPr>
        <w:t>201</w:t>
      </w:r>
      <w:r w:rsidR="00CC1E0C">
        <w:rPr>
          <w:color w:val="000000" w:themeColor="text1"/>
          <w:lang w:val="en-GB"/>
        </w:rPr>
        <w:t>7</w:t>
      </w:r>
      <w:r w:rsidR="00467E26">
        <w:rPr>
          <w:color w:val="000000" w:themeColor="text1"/>
          <w:lang w:val="en-GB"/>
        </w:rPr>
        <w:t xml:space="preserve"> was replaced by Legal Notice 97 of 2018</w:t>
      </w:r>
      <w:r w:rsidR="009373AD">
        <w:rPr>
          <w:color w:val="000000" w:themeColor="text1"/>
          <w:lang w:val="en-GB"/>
        </w:rPr>
        <w:t xml:space="preserve">, </w:t>
      </w:r>
      <w:r w:rsidR="00467E26">
        <w:rPr>
          <w:color w:val="000000" w:themeColor="text1"/>
          <w:lang w:val="en-GB"/>
        </w:rPr>
        <w:t>the Malta Residency Visa (Establishment) Order</w:t>
      </w:r>
      <w:r w:rsidR="009373AD">
        <w:rPr>
          <w:color w:val="000000" w:themeColor="text1"/>
          <w:lang w:val="en-GB"/>
        </w:rPr>
        <w:t xml:space="preserve"> (LN 97/2018).</w:t>
      </w:r>
      <w:r w:rsidR="008A300F">
        <w:rPr>
          <w:rStyle w:val="FootnoteReference"/>
          <w:color w:val="000000" w:themeColor="text1"/>
          <w:lang w:val="en-GB"/>
        </w:rPr>
        <w:footnoteReference w:id="12"/>
      </w:r>
      <w:r w:rsidR="008A300F">
        <w:rPr>
          <w:color w:val="000000" w:themeColor="text1"/>
          <w:lang w:val="en-GB"/>
        </w:rPr>
        <w:t xml:space="preserve"> LN 97/2018 </w:t>
      </w:r>
      <w:r w:rsidR="00467E26">
        <w:rPr>
          <w:color w:val="000000" w:themeColor="text1"/>
          <w:lang w:val="en-GB"/>
        </w:rPr>
        <w:t>repeals LN 107/2010</w:t>
      </w:r>
      <w:r w:rsidR="008A300F">
        <w:rPr>
          <w:rStyle w:val="FootnoteReference"/>
          <w:color w:val="000000" w:themeColor="text1"/>
          <w:lang w:val="en-GB"/>
        </w:rPr>
        <w:footnoteReference w:id="13"/>
      </w:r>
      <w:r w:rsidR="00467E26">
        <w:rPr>
          <w:color w:val="000000" w:themeColor="text1"/>
          <w:lang w:val="en-GB"/>
        </w:rPr>
        <w:t xml:space="preserve"> and provides for the setting up of a five-member Board of Directors and a Secretary of the Board appointed by the Minister responsible for identity management.</w:t>
      </w:r>
      <w:r w:rsidR="00467E26">
        <w:rPr>
          <w:rStyle w:val="FootnoteReference"/>
          <w:color w:val="000000" w:themeColor="text1"/>
          <w:lang w:val="en-GB"/>
        </w:rPr>
        <w:footnoteReference w:id="14"/>
      </w:r>
      <w:r w:rsidR="00467E26">
        <w:rPr>
          <w:color w:val="000000" w:themeColor="text1"/>
          <w:lang w:val="en-GB"/>
        </w:rPr>
        <w:t xml:space="preserve"> One of the five Directors is the Chairperson of the Board.</w:t>
      </w:r>
      <w:r w:rsidR="00467E26">
        <w:rPr>
          <w:rStyle w:val="FootnoteReference"/>
          <w:color w:val="000000" w:themeColor="text1"/>
          <w:lang w:val="en-GB"/>
        </w:rPr>
        <w:footnoteReference w:id="15"/>
      </w:r>
      <w:r w:rsidR="00467E26">
        <w:rPr>
          <w:color w:val="000000" w:themeColor="text1"/>
          <w:lang w:val="en-GB"/>
        </w:rPr>
        <w:t xml:space="preserve"> </w:t>
      </w:r>
      <w:r w:rsidR="00FB2D83">
        <w:rPr>
          <w:lang w:val="en-GB"/>
        </w:rPr>
        <w:t>LN 97/2018 does not specify the functions of the Board of Directors and given its recent adoption it is not possible to specify what role it fulfils in practice.</w:t>
      </w:r>
    </w:p>
    <w:p w14:paraId="642CECF8" w14:textId="77777777" w:rsidR="00FB2D83" w:rsidRDefault="00FB2D83" w:rsidP="00C83D3F">
      <w:pPr>
        <w:pStyle w:val="MBT"/>
        <w:rPr>
          <w:color w:val="000000" w:themeColor="text1"/>
          <w:lang w:val="en-GB"/>
        </w:rPr>
      </w:pPr>
    </w:p>
    <w:p w14:paraId="5690E58E" w14:textId="5516BBBC" w:rsidR="00467E26" w:rsidRDefault="00467E26" w:rsidP="00C83D3F">
      <w:pPr>
        <w:pStyle w:val="MBT"/>
        <w:rPr>
          <w:color w:val="000000" w:themeColor="text1"/>
          <w:lang w:val="en-GB"/>
        </w:rPr>
      </w:pPr>
      <w:r>
        <w:rPr>
          <w:color w:val="000000" w:themeColor="text1"/>
          <w:lang w:val="en-GB"/>
        </w:rPr>
        <w:t>LN 97/2018 also sets up the office of Chief Executive Officer, appointed by the Minister and responsible for the performance, functions, duties and daily management of the MRVA.</w:t>
      </w:r>
      <w:r>
        <w:rPr>
          <w:rStyle w:val="FootnoteReference"/>
          <w:color w:val="000000" w:themeColor="text1"/>
          <w:lang w:val="en-GB"/>
        </w:rPr>
        <w:footnoteReference w:id="16"/>
      </w:r>
      <w:r>
        <w:rPr>
          <w:color w:val="000000" w:themeColor="text1"/>
          <w:lang w:val="en-GB"/>
        </w:rPr>
        <w:t xml:space="preserve"> The Chief Executive Officer is answerable to the Board of Directors and is vested with the legal and judicial representation of the MRVA.</w:t>
      </w:r>
      <w:r>
        <w:rPr>
          <w:rStyle w:val="FootnoteReference"/>
          <w:color w:val="000000" w:themeColor="text1"/>
          <w:lang w:val="en-GB"/>
        </w:rPr>
        <w:footnoteReference w:id="17"/>
      </w:r>
      <w:r w:rsidR="00E3343A">
        <w:rPr>
          <w:color w:val="000000" w:themeColor="text1"/>
          <w:lang w:val="en-GB"/>
        </w:rPr>
        <w:t xml:space="preserve"> </w:t>
      </w:r>
      <w:r w:rsidR="00140C33">
        <w:rPr>
          <w:color w:val="000000" w:themeColor="text1"/>
          <w:lang w:val="en-GB"/>
        </w:rPr>
        <w:t>No further specification of the role of the Chief Executive Officer is provided.</w:t>
      </w:r>
    </w:p>
    <w:p w14:paraId="6BC9F256" w14:textId="77777777" w:rsidR="00467E26" w:rsidRPr="00C83D3F" w:rsidRDefault="00467E26" w:rsidP="00C83D3F">
      <w:pPr>
        <w:pStyle w:val="MBT"/>
        <w:rPr>
          <w:lang w:val="en-GB"/>
        </w:rPr>
      </w:pPr>
    </w:p>
    <w:p w14:paraId="3C7D5192" w14:textId="2C21A111" w:rsidR="00C31FA0" w:rsidRDefault="00467E26" w:rsidP="007E4F06">
      <w:pPr>
        <w:pStyle w:val="MBT"/>
        <w:rPr>
          <w:lang w:val="en-GB"/>
        </w:rPr>
      </w:pPr>
      <w:r>
        <w:rPr>
          <w:lang w:val="en-GB"/>
        </w:rPr>
        <w:t xml:space="preserve">The MRVA </w:t>
      </w:r>
      <w:r w:rsidR="00C31FA0">
        <w:rPr>
          <w:lang w:val="en-GB"/>
        </w:rPr>
        <w:t xml:space="preserve">carries out functions and duties of public administration in relation to a number of matters, </w:t>
      </w:r>
      <w:r w:rsidR="00D32CA8" w:rsidRPr="00DA0FED">
        <w:rPr>
          <w:i/>
          <w:lang w:val="en-GB"/>
        </w:rPr>
        <w:t>inter alia</w:t>
      </w:r>
      <w:r w:rsidR="00D32CA8" w:rsidRPr="00DA0FED">
        <w:rPr>
          <w:lang w:val="en-GB"/>
        </w:rPr>
        <w:t>:</w:t>
      </w:r>
    </w:p>
    <w:p w14:paraId="5E295AE1" w14:textId="77777777" w:rsidR="00DE4431" w:rsidRDefault="00DE4431" w:rsidP="007E4F06">
      <w:pPr>
        <w:pStyle w:val="MBT"/>
        <w:rPr>
          <w:lang w:val="en-GB"/>
        </w:rPr>
      </w:pPr>
    </w:p>
    <w:p w14:paraId="47759BF5" w14:textId="2D0D7C28" w:rsidR="00C31FA0" w:rsidRDefault="002358B8" w:rsidP="00DA0FED">
      <w:pPr>
        <w:pStyle w:val="MBT"/>
        <w:numPr>
          <w:ilvl w:val="0"/>
          <w:numId w:val="16"/>
        </w:numPr>
        <w:rPr>
          <w:lang w:val="en-GB"/>
        </w:rPr>
      </w:pPr>
      <w:r>
        <w:rPr>
          <w:lang w:val="en-GB"/>
        </w:rPr>
        <w:t>Issuing</w:t>
      </w:r>
      <w:r w:rsidR="00C31FA0">
        <w:rPr>
          <w:lang w:val="en-GB"/>
        </w:rPr>
        <w:t xml:space="preserve"> residence certificates by investment and other administrative matters related to those wishing to stay or settle indefinitely in Malta or </w:t>
      </w:r>
      <w:proofErr w:type="spellStart"/>
      <w:r w:rsidR="00C31FA0">
        <w:rPr>
          <w:lang w:val="en-GB"/>
        </w:rPr>
        <w:t>Gozo</w:t>
      </w:r>
      <w:proofErr w:type="spellEnd"/>
      <w:r w:rsidR="00C31FA0">
        <w:rPr>
          <w:lang w:val="en-GB"/>
        </w:rPr>
        <w:t>;</w:t>
      </w:r>
    </w:p>
    <w:p w14:paraId="3DCFE91A" w14:textId="4811BEA7" w:rsidR="00C31FA0" w:rsidRDefault="002358B8" w:rsidP="00DA0FED">
      <w:pPr>
        <w:pStyle w:val="MBT"/>
        <w:numPr>
          <w:ilvl w:val="0"/>
          <w:numId w:val="16"/>
        </w:numPr>
        <w:rPr>
          <w:lang w:val="en-GB"/>
        </w:rPr>
      </w:pPr>
      <w:r>
        <w:rPr>
          <w:lang w:val="en-GB"/>
        </w:rPr>
        <w:t>Working</w:t>
      </w:r>
      <w:r w:rsidR="00C31FA0">
        <w:rPr>
          <w:lang w:val="en-GB"/>
        </w:rPr>
        <w:t xml:space="preserve"> and collaborating with </w:t>
      </w:r>
      <w:r w:rsidR="00FA2712">
        <w:rPr>
          <w:lang w:val="en-GB"/>
        </w:rPr>
        <w:t xml:space="preserve">the </w:t>
      </w:r>
      <w:r w:rsidR="00C31FA0">
        <w:rPr>
          <w:lang w:val="en-GB"/>
        </w:rPr>
        <w:t xml:space="preserve">Identity Malta Agency with regards to the issuance of </w:t>
      </w:r>
      <w:r w:rsidR="00CC1E0C">
        <w:rPr>
          <w:lang w:val="en-GB"/>
        </w:rPr>
        <w:t xml:space="preserve">residency </w:t>
      </w:r>
      <w:r w:rsidR="00C31FA0">
        <w:rPr>
          <w:lang w:val="en-GB"/>
        </w:rPr>
        <w:t>documents;</w:t>
      </w:r>
    </w:p>
    <w:p w14:paraId="33A19948" w14:textId="1BC431D4" w:rsidR="00C31FA0" w:rsidRDefault="002358B8" w:rsidP="00DA0FED">
      <w:pPr>
        <w:pStyle w:val="MBT"/>
        <w:numPr>
          <w:ilvl w:val="0"/>
          <w:numId w:val="16"/>
        </w:numPr>
        <w:rPr>
          <w:lang w:val="en-GB"/>
        </w:rPr>
      </w:pPr>
      <w:r>
        <w:rPr>
          <w:lang w:val="en-GB"/>
        </w:rPr>
        <w:t>Establishing</w:t>
      </w:r>
      <w:r w:rsidR="00C31FA0">
        <w:rPr>
          <w:lang w:val="en-GB"/>
        </w:rPr>
        <w:t xml:space="preserve"> accredited agents;</w:t>
      </w:r>
    </w:p>
    <w:p w14:paraId="74FF32BA" w14:textId="3CAFAF64" w:rsidR="00C31FA0" w:rsidRDefault="002358B8" w:rsidP="00DA0FED">
      <w:pPr>
        <w:pStyle w:val="MBT"/>
        <w:numPr>
          <w:ilvl w:val="0"/>
          <w:numId w:val="16"/>
        </w:numPr>
        <w:rPr>
          <w:lang w:val="en-GB"/>
        </w:rPr>
      </w:pPr>
      <w:r>
        <w:rPr>
          <w:lang w:val="en-GB"/>
        </w:rPr>
        <w:t>Performing</w:t>
      </w:r>
      <w:r w:rsidR="00C31FA0">
        <w:rPr>
          <w:lang w:val="en-GB"/>
        </w:rPr>
        <w:t xml:space="preserve"> due diligence checks on all applications;</w:t>
      </w:r>
    </w:p>
    <w:p w14:paraId="3AE85337" w14:textId="63D1ED58" w:rsidR="00CC1E0C" w:rsidRDefault="00CC1E0C" w:rsidP="00DA0FED">
      <w:pPr>
        <w:pStyle w:val="MBT"/>
        <w:numPr>
          <w:ilvl w:val="0"/>
          <w:numId w:val="16"/>
        </w:numPr>
        <w:rPr>
          <w:lang w:val="en-GB"/>
        </w:rPr>
      </w:pPr>
      <w:r>
        <w:rPr>
          <w:lang w:val="en-GB"/>
        </w:rPr>
        <w:t>Implementing and maintaining internal standard operating procedures;</w:t>
      </w:r>
    </w:p>
    <w:p w14:paraId="58ADC537" w14:textId="7B4F50C6" w:rsidR="00CC1E0C" w:rsidRDefault="002358B8" w:rsidP="00DA0FED">
      <w:pPr>
        <w:pStyle w:val="MBT"/>
        <w:numPr>
          <w:ilvl w:val="0"/>
          <w:numId w:val="16"/>
        </w:numPr>
        <w:rPr>
          <w:lang w:val="en-GB"/>
        </w:rPr>
      </w:pPr>
      <w:r>
        <w:rPr>
          <w:lang w:val="en-GB"/>
        </w:rPr>
        <w:t>Timely</w:t>
      </w:r>
      <w:r w:rsidR="00C31FA0">
        <w:rPr>
          <w:lang w:val="en-GB"/>
        </w:rPr>
        <w:t xml:space="preserve"> issuance of the indefinite certificate of residence and residence documents</w:t>
      </w:r>
      <w:r w:rsidR="009373AD">
        <w:rPr>
          <w:lang w:val="en-GB"/>
        </w:rPr>
        <w:t>;</w:t>
      </w:r>
    </w:p>
    <w:p w14:paraId="56E699F3" w14:textId="3CCD3E8C" w:rsidR="00CC1E0C" w:rsidRDefault="00CC1E0C" w:rsidP="00DA0FED">
      <w:pPr>
        <w:pStyle w:val="MBT"/>
        <w:numPr>
          <w:ilvl w:val="0"/>
          <w:numId w:val="16"/>
        </w:numPr>
        <w:rPr>
          <w:lang w:val="en-GB"/>
        </w:rPr>
      </w:pPr>
      <w:r>
        <w:rPr>
          <w:lang w:val="en-GB"/>
        </w:rPr>
        <w:t>Remaining abreast of other international residence schemes by investment whilst ensuring that the MRVA remains competitive;</w:t>
      </w:r>
    </w:p>
    <w:p w14:paraId="1AB97606" w14:textId="52A07B87" w:rsidR="00C31FA0" w:rsidRDefault="00CC1E0C" w:rsidP="00DA0FED">
      <w:pPr>
        <w:pStyle w:val="MBT"/>
        <w:numPr>
          <w:ilvl w:val="0"/>
          <w:numId w:val="16"/>
        </w:numPr>
        <w:rPr>
          <w:lang w:val="en-GB"/>
        </w:rPr>
      </w:pPr>
      <w:r>
        <w:rPr>
          <w:lang w:val="en-GB"/>
        </w:rPr>
        <w:t>Meeting, monitoring and managing MRVA concessionaires and providing them with the required support and guidance whilst ensuring compliance with the conditions of the agreements in force.</w:t>
      </w:r>
      <w:r w:rsidR="002358B8">
        <w:rPr>
          <w:rStyle w:val="FootnoteReference"/>
          <w:lang w:val="en-GB"/>
        </w:rPr>
        <w:footnoteReference w:id="18"/>
      </w:r>
    </w:p>
    <w:p w14:paraId="10131549" w14:textId="1FF7FE38" w:rsidR="00C31FA0" w:rsidRDefault="00C31FA0" w:rsidP="00C31FA0">
      <w:pPr>
        <w:pStyle w:val="MBT"/>
        <w:rPr>
          <w:lang w:val="en-GB"/>
        </w:rPr>
      </w:pPr>
    </w:p>
    <w:p w14:paraId="49A3A31C" w14:textId="54C859BF" w:rsidR="009373AD" w:rsidRPr="0044090D" w:rsidRDefault="009373AD" w:rsidP="009373AD">
      <w:pPr>
        <w:pStyle w:val="MBT"/>
        <w:rPr>
          <w:lang w:val="en-GB"/>
        </w:rPr>
      </w:pPr>
      <w:r w:rsidRPr="0044090D">
        <w:rPr>
          <w:lang w:val="en-GB"/>
        </w:rPr>
        <w:t>This is in line with the Fourth Schedule to the Public Administration Act</w:t>
      </w:r>
      <w:r>
        <w:rPr>
          <w:lang w:val="en-GB"/>
        </w:rPr>
        <w:t>,</w:t>
      </w:r>
      <w:r w:rsidRPr="0044090D">
        <w:rPr>
          <w:rStyle w:val="FootnoteReference"/>
          <w:lang w:val="en-GB"/>
        </w:rPr>
        <w:footnoteReference w:id="19"/>
      </w:r>
      <w:r w:rsidRPr="0044090D">
        <w:rPr>
          <w:lang w:val="en-GB"/>
        </w:rPr>
        <w:t xml:space="preserve"> stating that </w:t>
      </w:r>
      <w:r>
        <w:rPr>
          <w:lang w:val="en-GB"/>
        </w:rPr>
        <w:t>MRVA’s</w:t>
      </w:r>
      <w:r w:rsidRPr="0044090D">
        <w:rPr>
          <w:lang w:val="en-GB"/>
        </w:rPr>
        <w:t xml:space="preserve"> functions are to ‘execute the functions and duties of the public administration in matters relating to </w:t>
      </w:r>
      <w:r>
        <w:rPr>
          <w:lang w:val="en-GB"/>
        </w:rPr>
        <w:t>issuing of residence visas by investment and other administrative matters related to individuals wishing to stay or settle indefinitely</w:t>
      </w:r>
      <w:r w:rsidR="00B5305A">
        <w:rPr>
          <w:lang w:val="en-GB"/>
        </w:rPr>
        <w:t xml:space="preserve"> in Malta or </w:t>
      </w:r>
      <w:proofErr w:type="spellStart"/>
      <w:r w:rsidR="00B5305A">
        <w:rPr>
          <w:lang w:val="en-GB"/>
        </w:rPr>
        <w:t>Gozo</w:t>
      </w:r>
      <w:proofErr w:type="spellEnd"/>
      <w:r>
        <w:rPr>
          <w:lang w:val="en-GB"/>
        </w:rPr>
        <w:t>’</w:t>
      </w:r>
      <w:r w:rsidRPr="0044090D">
        <w:rPr>
          <w:lang w:val="en-GB"/>
        </w:rPr>
        <w:t>.</w:t>
      </w:r>
    </w:p>
    <w:p w14:paraId="12AA169B" w14:textId="77777777" w:rsidR="00CC1E0C" w:rsidRDefault="00CC1E0C" w:rsidP="00C31FA0">
      <w:pPr>
        <w:pStyle w:val="MBT"/>
        <w:rPr>
          <w:lang w:val="en-GB"/>
        </w:rPr>
      </w:pPr>
    </w:p>
    <w:p w14:paraId="00541513" w14:textId="452AA45E" w:rsidR="00CC1E0C" w:rsidRDefault="00CC1E0C" w:rsidP="00C31FA0">
      <w:pPr>
        <w:pStyle w:val="MBT"/>
        <w:rPr>
          <w:lang w:val="en-GB"/>
        </w:rPr>
      </w:pPr>
      <w:r>
        <w:rPr>
          <w:lang w:val="en-GB"/>
        </w:rPr>
        <w:t xml:space="preserve">Article 8 of LN 97/2018 sets up an Approvals Board composed of four Directors – one of whom is the Chairperson of the </w:t>
      </w:r>
      <w:r w:rsidR="009373AD">
        <w:rPr>
          <w:lang w:val="en-GB"/>
        </w:rPr>
        <w:t xml:space="preserve">Board – </w:t>
      </w:r>
      <w:r>
        <w:rPr>
          <w:lang w:val="en-GB"/>
        </w:rPr>
        <w:t xml:space="preserve"> appointed by the Minister responsible for identity management. The </w:t>
      </w:r>
      <w:r w:rsidR="009373AD">
        <w:rPr>
          <w:lang w:val="en-GB"/>
        </w:rPr>
        <w:t>A</w:t>
      </w:r>
      <w:r>
        <w:rPr>
          <w:lang w:val="en-GB"/>
        </w:rPr>
        <w:t xml:space="preserve">pprovals Board is a separate Board of the MRVA tasked with the recommendation of approvals or rejection of residence certificates presented to it </w:t>
      </w:r>
      <w:r w:rsidR="008A300F">
        <w:rPr>
          <w:lang w:val="en-GB"/>
        </w:rPr>
        <w:t>by the Chief Executive Officer.</w:t>
      </w:r>
      <w:r w:rsidR="00E3343A">
        <w:rPr>
          <w:lang w:val="en-GB"/>
        </w:rPr>
        <w:t xml:space="preserve"> </w:t>
      </w:r>
      <w:r w:rsidR="00E3343A" w:rsidRPr="00AC07C8">
        <w:rPr>
          <w:lang w:val="en-GB"/>
        </w:rPr>
        <w:t>As of March 2018, the Approvals Board is therefore the decision-making body</w:t>
      </w:r>
      <w:r w:rsidR="009011AB">
        <w:rPr>
          <w:lang w:val="en-GB"/>
        </w:rPr>
        <w:t>.</w:t>
      </w:r>
    </w:p>
    <w:p w14:paraId="1853505E" w14:textId="0E0E496C" w:rsidR="0075681A" w:rsidRDefault="0075681A" w:rsidP="00C31FA0">
      <w:pPr>
        <w:pStyle w:val="MBT"/>
        <w:rPr>
          <w:lang w:val="en-GB"/>
        </w:rPr>
      </w:pPr>
    </w:p>
    <w:p w14:paraId="32C5C080" w14:textId="79E53091" w:rsidR="00DA0FED" w:rsidRDefault="00D32CA8" w:rsidP="00DA0FED">
      <w:pPr>
        <w:pStyle w:val="MBT"/>
        <w:rPr>
          <w:lang w:val="en-GB"/>
        </w:rPr>
      </w:pPr>
      <w:r>
        <w:rPr>
          <w:lang w:val="en-GB"/>
        </w:rPr>
        <w:t xml:space="preserve">In addition to the MRVA, the </w:t>
      </w:r>
      <w:r w:rsidRPr="007865F9">
        <w:rPr>
          <w:b/>
          <w:lang w:val="en-GB"/>
        </w:rPr>
        <w:t>Identity Malta Agency</w:t>
      </w:r>
      <w:r>
        <w:rPr>
          <w:lang w:val="en-GB"/>
        </w:rPr>
        <w:t xml:space="preserve"> also plays a key role. </w:t>
      </w:r>
      <w:r w:rsidR="00DA0FED" w:rsidRPr="00DA0FED">
        <w:rPr>
          <w:lang w:val="en-GB"/>
        </w:rPr>
        <w:t xml:space="preserve">Identity Malta was set up by </w:t>
      </w:r>
      <w:r w:rsidRPr="00DA0FED">
        <w:rPr>
          <w:lang w:val="en-GB"/>
        </w:rPr>
        <w:t>Legal Notice 269 of 2013</w:t>
      </w:r>
      <w:r>
        <w:rPr>
          <w:lang w:val="en-GB"/>
        </w:rPr>
        <w:t>,</w:t>
      </w:r>
      <w:r w:rsidRPr="00DA0FED">
        <w:rPr>
          <w:lang w:val="en-GB"/>
        </w:rPr>
        <w:t xml:space="preserve"> </w:t>
      </w:r>
      <w:r w:rsidR="00DA0FED" w:rsidRPr="00DA0FED">
        <w:rPr>
          <w:lang w:val="en-GB"/>
        </w:rPr>
        <w:t>the Identity Mal</w:t>
      </w:r>
      <w:r>
        <w:rPr>
          <w:lang w:val="en-GB"/>
        </w:rPr>
        <w:t>ta Agency (Establishment) Order</w:t>
      </w:r>
      <w:r w:rsidR="00DA0FED" w:rsidRPr="00DA0FED">
        <w:rPr>
          <w:lang w:val="en-GB"/>
        </w:rPr>
        <w:t xml:space="preserve"> (LN 269/2013)</w:t>
      </w:r>
      <w:r w:rsidR="007466DF">
        <w:rPr>
          <w:lang w:val="en-GB"/>
        </w:rPr>
        <w:t>.</w:t>
      </w:r>
      <w:r w:rsidR="00DA0FED" w:rsidRPr="00DA0FED">
        <w:rPr>
          <w:vertAlign w:val="superscript"/>
          <w:lang w:val="en-GB"/>
        </w:rPr>
        <w:footnoteReference w:id="20"/>
      </w:r>
      <w:r w:rsidR="00DA0FED" w:rsidRPr="00DA0FED">
        <w:rPr>
          <w:lang w:val="en-GB"/>
        </w:rPr>
        <w:t xml:space="preserve"> It is a government agency tasked with carrying out functions and duties of the public administration in a number of matters, </w:t>
      </w:r>
      <w:r w:rsidR="00DA0FED" w:rsidRPr="00DA0FED">
        <w:rPr>
          <w:i/>
          <w:lang w:val="en-GB"/>
        </w:rPr>
        <w:t>inter alia</w:t>
      </w:r>
      <w:r w:rsidR="00DA0FED" w:rsidRPr="00DA0FED">
        <w:rPr>
          <w:lang w:val="en-GB"/>
        </w:rPr>
        <w:t>:</w:t>
      </w:r>
    </w:p>
    <w:p w14:paraId="68852A47" w14:textId="77777777" w:rsidR="007466DF" w:rsidRPr="00D32CA8" w:rsidRDefault="007466DF" w:rsidP="00DA0FED">
      <w:pPr>
        <w:pStyle w:val="MBT"/>
        <w:rPr>
          <w:lang w:val="en-GB"/>
        </w:rPr>
      </w:pPr>
    </w:p>
    <w:p w14:paraId="6776C843" w14:textId="77777777" w:rsidR="00DA0FED" w:rsidRPr="00DA0FED" w:rsidRDefault="00DA0FED" w:rsidP="00DA0FED">
      <w:pPr>
        <w:pStyle w:val="MBT"/>
        <w:numPr>
          <w:ilvl w:val="0"/>
          <w:numId w:val="17"/>
        </w:numPr>
        <w:rPr>
          <w:lang w:val="en-GB"/>
        </w:rPr>
      </w:pPr>
      <w:r w:rsidRPr="00DA0FED">
        <w:rPr>
          <w:lang w:val="en-GB"/>
        </w:rPr>
        <w:t xml:space="preserve">Citizenship, visas, residence permits, work </w:t>
      </w:r>
      <w:proofErr w:type="gramStart"/>
      <w:r w:rsidRPr="00DA0FED">
        <w:rPr>
          <w:lang w:val="en-GB"/>
        </w:rPr>
        <w:t>permits</w:t>
      </w:r>
      <w:proofErr w:type="gramEnd"/>
      <w:r w:rsidRPr="00DA0FED">
        <w:rPr>
          <w:lang w:val="en-GB"/>
        </w:rPr>
        <w:t xml:space="preserve"> and other administrative matters related to expatriates;</w:t>
      </w:r>
    </w:p>
    <w:p w14:paraId="52EDA368" w14:textId="77777777" w:rsidR="00DA0FED" w:rsidRPr="00DA0FED" w:rsidRDefault="00DA0FED" w:rsidP="00DA0FED">
      <w:pPr>
        <w:pStyle w:val="MBT"/>
        <w:numPr>
          <w:ilvl w:val="0"/>
          <w:numId w:val="17"/>
        </w:numPr>
        <w:rPr>
          <w:lang w:val="en-GB"/>
        </w:rPr>
      </w:pPr>
      <w:r w:rsidRPr="00DA0FED">
        <w:rPr>
          <w:lang w:val="en-GB"/>
        </w:rPr>
        <w:t>Passports;</w:t>
      </w:r>
    </w:p>
    <w:p w14:paraId="01A2AA4C" w14:textId="708BAC2C" w:rsidR="00DA0FED" w:rsidRPr="00DA0FED" w:rsidRDefault="00DA0FED" w:rsidP="00DA0FED">
      <w:pPr>
        <w:pStyle w:val="MBT"/>
        <w:numPr>
          <w:ilvl w:val="0"/>
          <w:numId w:val="17"/>
        </w:numPr>
        <w:rPr>
          <w:lang w:val="en-GB"/>
        </w:rPr>
      </w:pPr>
      <w:r w:rsidRPr="00DA0FED">
        <w:rPr>
          <w:lang w:val="en-GB"/>
        </w:rPr>
        <w:t>Individual investment programmes for expatriates or for persons who acquire Maltese citizenship, including the administration of funds deriving from such programmes</w:t>
      </w:r>
      <w:r w:rsidR="00135E2C">
        <w:rPr>
          <w:lang w:val="en-GB"/>
        </w:rPr>
        <w:t>.</w:t>
      </w:r>
      <w:r w:rsidRPr="00DA0FED">
        <w:rPr>
          <w:vertAlign w:val="superscript"/>
          <w:lang w:val="en-GB"/>
        </w:rPr>
        <w:footnoteReference w:id="21"/>
      </w:r>
    </w:p>
    <w:p w14:paraId="479DE99C" w14:textId="1017D480" w:rsidR="008A300F" w:rsidRDefault="008A300F" w:rsidP="00DA0FED">
      <w:pPr>
        <w:pStyle w:val="MBT"/>
        <w:rPr>
          <w:lang w:val="en-GB"/>
        </w:rPr>
      </w:pPr>
    </w:p>
    <w:p w14:paraId="3B78F4CD" w14:textId="77777777" w:rsidR="008A300F" w:rsidRPr="0044090D" w:rsidRDefault="008A300F" w:rsidP="008A300F">
      <w:pPr>
        <w:pStyle w:val="MBT"/>
        <w:rPr>
          <w:lang w:val="en-GB"/>
        </w:rPr>
      </w:pPr>
      <w:r w:rsidRPr="0044090D">
        <w:rPr>
          <w:lang w:val="en-GB"/>
        </w:rPr>
        <w:t>This is in line with the Fourth Schedule to the Public Administration Act</w:t>
      </w:r>
      <w:r>
        <w:rPr>
          <w:lang w:val="en-GB"/>
        </w:rPr>
        <w:t>,</w:t>
      </w:r>
      <w:r w:rsidRPr="0044090D">
        <w:rPr>
          <w:rStyle w:val="FootnoteReference"/>
          <w:lang w:val="en-GB"/>
        </w:rPr>
        <w:footnoteReference w:id="22"/>
      </w:r>
      <w:r w:rsidRPr="0044090D">
        <w:rPr>
          <w:lang w:val="en-GB"/>
        </w:rPr>
        <w:t xml:space="preserve"> stating that Identity Malta’s functions are to ‘execute the functions and duties of the public administration in matters relating to passports, identity documents, work and residence permits for expatriates, land registration and registration of public deeds, acts of civil status and individual investment programmes’.</w:t>
      </w:r>
    </w:p>
    <w:p w14:paraId="2A54205C" w14:textId="77777777" w:rsidR="008A300F" w:rsidRPr="0044090D" w:rsidRDefault="008A300F" w:rsidP="008A300F">
      <w:pPr>
        <w:pStyle w:val="MMultilevel"/>
        <w:numPr>
          <w:ilvl w:val="0"/>
          <w:numId w:val="0"/>
        </w:numPr>
        <w:ind w:left="425" w:hanging="425"/>
        <w:rPr>
          <w:color w:val="000000" w:themeColor="text1"/>
          <w:lang w:val="en-GB"/>
        </w:rPr>
      </w:pPr>
    </w:p>
    <w:p w14:paraId="0963CF5C" w14:textId="28846B6F" w:rsidR="009373AD" w:rsidRDefault="008A300F" w:rsidP="009373AD">
      <w:pPr>
        <w:pStyle w:val="MBT"/>
        <w:rPr>
          <w:lang w:val="en-GB"/>
        </w:rPr>
      </w:pPr>
      <w:r w:rsidRPr="0044090D">
        <w:rPr>
          <w:color w:val="000000" w:themeColor="text1"/>
          <w:lang w:val="en-GB"/>
        </w:rPr>
        <w:t>The Minister responsible for identity management - currently the Ministry of Justice, Culture and Local Government - is responsible for</w:t>
      </w:r>
      <w:r w:rsidR="009373AD">
        <w:rPr>
          <w:color w:val="000000" w:themeColor="text1"/>
          <w:lang w:val="en-GB"/>
        </w:rPr>
        <w:t xml:space="preserve"> both the MRVA and</w:t>
      </w:r>
      <w:r w:rsidRPr="0044090D">
        <w:rPr>
          <w:color w:val="000000" w:themeColor="text1"/>
          <w:lang w:val="en-GB"/>
        </w:rPr>
        <w:t xml:space="preserve"> Identity Malta</w:t>
      </w:r>
      <w:r>
        <w:rPr>
          <w:color w:val="000000" w:themeColor="text1"/>
          <w:lang w:val="en-GB"/>
        </w:rPr>
        <w:t>.</w:t>
      </w:r>
      <w:r w:rsidRPr="0044090D">
        <w:rPr>
          <w:rStyle w:val="FootnoteReference"/>
          <w:color w:val="000000" w:themeColor="text1"/>
          <w:lang w:val="en-GB"/>
        </w:rPr>
        <w:footnoteReference w:id="23"/>
      </w:r>
      <w:r w:rsidRPr="0044090D">
        <w:rPr>
          <w:color w:val="000000" w:themeColor="text1"/>
          <w:lang w:val="en-GB"/>
        </w:rPr>
        <w:t xml:space="preserve"> When the matters</w:t>
      </w:r>
      <w:r w:rsidR="009373AD">
        <w:rPr>
          <w:color w:val="000000" w:themeColor="text1"/>
          <w:lang w:val="en-GB"/>
        </w:rPr>
        <w:t xml:space="preserve"> the MRVA or Identity Malta is responsible for</w:t>
      </w:r>
      <w:r w:rsidRPr="0044090D">
        <w:rPr>
          <w:color w:val="000000" w:themeColor="text1"/>
          <w:lang w:val="en-GB"/>
        </w:rPr>
        <w:t xml:space="preserve"> consist of or include the administration or investment of funds, the Minister responsible for identity management must act with the concurrence of the Minister responsible for finance.</w:t>
      </w:r>
      <w:r>
        <w:rPr>
          <w:rStyle w:val="FootnoteReference"/>
          <w:color w:val="000000" w:themeColor="text1"/>
          <w:lang w:val="en-GB"/>
        </w:rPr>
        <w:footnoteReference w:id="24"/>
      </w:r>
      <w:r w:rsidRPr="0044090D">
        <w:rPr>
          <w:color w:val="000000" w:themeColor="text1"/>
          <w:lang w:val="en-GB"/>
        </w:rPr>
        <w:t xml:space="preserve"> </w:t>
      </w:r>
      <w:r w:rsidR="009373AD">
        <w:rPr>
          <w:lang w:val="en-GB"/>
        </w:rPr>
        <w:t>What these actions include is not specified in the legislation.</w:t>
      </w:r>
      <w:r w:rsidR="009373AD" w:rsidRPr="00DA0FED">
        <w:rPr>
          <w:lang w:val="en-GB"/>
        </w:rPr>
        <w:t xml:space="preserve"> </w:t>
      </w:r>
    </w:p>
    <w:p w14:paraId="142B1B88" w14:textId="0268818A" w:rsidR="008A300F" w:rsidRDefault="008A300F" w:rsidP="008A300F">
      <w:pPr>
        <w:pStyle w:val="MMultilevel"/>
        <w:numPr>
          <w:ilvl w:val="0"/>
          <w:numId w:val="0"/>
        </w:numPr>
        <w:rPr>
          <w:color w:val="000000" w:themeColor="text1"/>
          <w:lang w:val="en-GB"/>
        </w:rPr>
      </w:pPr>
    </w:p>
    <w:p w14:paraId="51AD8218" w14:textId="6CAC756B" w:rsidR="008A300F" w:rsidRDefault="008A300F" w:rsidP="008A300F">
      <w:pPr>
        <w:pStyle w:val="MMultilevel"/>
        <w:numPr>
          <w:ilvl w:val="0"/>
          <w:numId w:val="0"/>
        </w:numPr>
        <w:rPr>
          <w:color w:val="000000" w:themeColor="text1"/>
          <w:lang w:val="en-GB"/>
        </w:rPr>
      </w:pPr>
      <w:r>
        <w:rPr>
          <w:color w:val="000000" w:themeColor="text1"/>
          <w:lang w:val="en-GB"/>
        </w:rPr>
        <w:t>On 29 March 2018, LN 269/2013 was amended by Legal Notice 95 of 2018</w:t>
      </w:r>
      <w:r>
        <w:rPr>
          <w:rStyle w:val="FootnoteReference"/>
          <w:color w:val="000000" w:themeColor="text1"/>
          <w:lang w:val="en-GB"/>
        </w:rPr>
        <w:footnoteReference w:id="25"/>
      </w:r>
      <w:r>
        <w:rPr>
          <w:color w:val="000000" w:themeColor="text1"/>
          <w:lang w:val="en-GB"/>
        </w:rPr>
        <w:t xml:space="preserve"> to provide for the setting up of a five-member Board of Directors appointed by the Minister responsible for identity management.</w:t>
      </w:r>
      <w:r>
        <w:rPr>
          <w:rStyle w:val="FootnoteReference"/>
          <w:color w:val="000000" w:themeColor="text1"/>
          <w:lang w:val="en-GB"/>
        </w:rPr>
        <w:footnoteReference w:id="26"/>
      </w:r>
      <w:r>
        <w:rPr>
          <w:color w:val="000000" w:themeColor="text1"/>
          <w:lang w:val="en-GB"/>
        </w:rPr>
        <w:t xml:space="preserve"> The Directors are non-Executive Directors, each having one vote. One of the five Directors is a non-Executive Chairperson.</w:t>
      </w:r>
      <w:r>
        <w:rPr>
          <w:rStyle w:val="FootnoteReference"/>
          <w:color w:val="000000" w:themeColor="text1"/>
          <w:lang w:val="en-GB"/>
        </w:rPr>
        <w:footnoteReference w:id="27"/>
      </w:r>
      <w:r>
        <w:rPr>
          <w:color w:val="000000" w:themeColor="text1"/>
          <w:lang w:val="en-GB"/>
        </w:rPr>
        <w:t xml:space="preserve"> The amendments also set up the office of the ‘Chief Executive Officer, Identity Management and Ancillary Services’, appointed by the Minister and </w:t>
      </w:r>
      <w:r>
        <w:rPr>
          <w:color w:val="000000" w:themeColor="text1"/>
          <w:lang w:val="en-GB"/>
        </w:rPr>
        <w:lastRenderedPageBreak/>
        <w:t>responsible for the performance, functions, duties and daily management of Identity Malta.</w:t>
      </w:r>
      <w:r>
        <w:rPr>
          <w:rStyle w:val="FootnoteReference"/>
          <w:color w:val="000000" w:themeColor="text1"/>
          <w:lang w:val="en-GB"/>
        </w:rPr>
        <w:footnoteReference w:id="28"/>
      </w:r>
      <w:r>
        <w:rPr>
          <w:color w:val="000000" w:themeColor="text1"/>
          <w:lang w:val="en-GB"/>
        </w:rPr>
        <w:t xml:space="preserve"> The Chief Executive Officer is answerable to the Board of Directors and is vested with the legal and judicial representation of Identity Malta.</w:t>
      </w:r>
      <w:r>
        <w:rPr>
          <w:rStyle w:val="FootnoteReference"/>
          <w:color w:val="000000" w:themeColor="text1"/>
          <w:lang w:val="en-GB"/>
        </w:rPr>
        <w:footnoteReference w:id="29"/>
      </w:r>
    </w:p>
    <w:p w14:paraId="2D0BF786" w14:textId="77777777" w:rsidR="008A300F" w:rsidRDefault="008A300F" w:rsidP="008A300F">
      <w:pPr>
        <w:pStyle w:val="MMultilevel"/>
        <w:numPr>
          <w:ilvl w:val="0"/>
          <w:numId w:val="0"/>
        </w:numPr>
        <w:rPr>
          <w:color w:val="000000" w:themeColor="text1"/>
          <w:lang w:val="en-GB"/>
        </w:rPr>
      </w:pPr>
    </w:p>
    <w:p w14:paraId="05985A0A" w14:textId="236267BF" w:rsidR="008A300F" w:rsidRPr="00DA0FED" w:rsidRDefault="008A300F" w:rsidP="00DA0FED">
      <w:pPr>
        <w:pStyle w:val="MBT"/>
        <w:rPr>
          <w:lang w:val="en-GB"/>
        </w:rPr>
      </w:pPr>
      <w:r>
        <w:rPr>
          <w:color w:val="000000" w:themeColor="text1"/>
          <w:lang w:val="en-GB"/>
        </w:rPr>
        <w:t>At the same time, the Malta Individual Investor Programme Agency (Establishment) Order, Legal Notice 96 of 2018 (LN 96/2018)</w:t>
      </w:r>
      <w:r>
        <w:rPr>
          <w:rStyle w:val="FootnoteReference"/>
          <w:color w:val="000000" w:themeColor="text1"/>
          <w:lang w:val="en-GB"/>
        </w:rPr>
        <w:footnoteReference w:id="30"/>
      </w:r>
      <w:r>
        <w:rPr>
          <w:color w:val="000000" w:themeColor="text1"/>
          <w:lang w:val="en-GB"/>
        </w:rPr>
        <w:t xml:space="preserve"> was adopted to set up the </w:t>
      </w:r>
      <w:r w:rsidRPr="005F42FB">
        <w:rPr>
          <w:color w:val="000000" w:themeColor="text1"/>
          <w:lang w:val="en-GB"/>
        </w:rPr>
        <w:t>Malta Individual Investor Programme Agency</w:t>
      </w:r>
      <w:r>
        <w:rPr>
          <w:color w:val="000000" w:themeColor="text1"/>
          <w:lang w:val="en-GB"/>
        </w:rPr>
        <w:t xml:space="preserve"> (IIP Agency). The functions of the IIP Agency relate to the acquisition of citizenship by investment and</w:t>
      </w:r>
      <w:r w:rsidR="009373AD">
        <w:rPr>
          <w:color w:val="000000" w:themeColor="text1"/>
          <w:lang w:val="en-GB"/>
        </w:rPr>
        <w:t xml:space="preserve"> are described in Deliverable B</w:t>
      </w:r>
      <w:r>
        <w:rPr>
          <w:color w:val="000000" w:themeColor="text1"/>
          <w:lang w:val="en-GB"/>
        </w:rPr>
        <w:t>I.</w:t>
      </w:r>
    </w:p>
    <w:p w14:paraId="6317BC5D" w14:textId="77777777" w:rsidR="00DA0FED" w:rsidRDefault="00DA0FED" w:rsidP="00C31FA0">
      <w:pPr>
        <w:pStyle w:val="MBT"/>
        <w:rPr>
          <w:lang w:val="en-GB"/>
        </w:rPr>
      </w:pPr>
    </w:p>
    <w:p w14:paraId="10810B0F" w14:textId="7FABA376" w:rsidR="00F537EE" w:rsidRPr="00580591" w:rsidRDefault="001F4896" w:rsidP="00F537EE">
      <w:pPr>
        <w:pStyle w:val="MBT"/>
        <w:rPr>
          <w:b/>
          <w:lang w:val="en-GB"/>
        </w:rPr>
      </w:pPr>
      <w:r w:rsidRPr="00346D85">
        <w:rPr>
          <w:lang w:val="en-GB"/>
        </w:rPr>
        <w:t>The MRVA formed part of Identity Malta until April 2017.</w:t>
      </w:r>
      <w:r w:rsidRPr="00346D85">
        <w:rPr>
          <w:rStyle w:val="FootnoteReference"/>
          <w:lang w:val="en-GB"/>
        </w:rPr>
        <w:footnoteReference w:id="31"/>
      </w:r>
      <w:r w:rsidR="00F537EE" w:rsidRPr="00346D85">
        <w:rPr>
          <w:lang w:val="en-GB"/>
        </w:rPr>
        <w:t xml:space="preserve"> Being a new agency, MRVA is still fine-tuning its procedures. </w:t>
      </w:r>
      <w:r w:rsidR="00F537EE" w:rsidRPr="00E70484">
        <w:rPr>
          <w:b/>
          <w:lang w:val="en-GB"/>
        </w:rPr>
        <w:t>LN 288/2015 is yet to be amended to reflect the separation of these agencies</w:t>
      </w:r>
      <w:r w:rsidR="00F537EE" w:rsidRPr="00346D85">
        <w:rPr>
          <w:lang w:val="en-GB"/>
        </w:rPr>
        <w:t>.</w:t>
      </w:r>
      <w:r w:rsidR="00F537EE">
        <w:rPr>
          <w:lang w:val="en-GB"/>
        </w:rPr>
        <w:t xml:space="preserve"> </w:t>
      </w:r>
      <w:r w:rsidR="00E3343A">
        <w:rPr>
          <w:lang w:val="en-GB"/>
        </w:rPr>
        <w:t>In practice, the MRVA is responsible for all aspects of the MRVP with the exception of the issuance of the residence permit that falls within Identity Malta’s competences.</w:t>
      </w:r>
    </w:p>
    <w:p w14:paraId="76B805EF" w14:textId="77777777" w:rsidR="00F537EE" w:rsidRDefault="00F537EE" w:rsidP="00497221">
      <w:pPr>
        <w:pStyle w:val="MBT"/>
        <w:rPr>
          <w:lang w:val="en-GB"/>
        </w:rPr>
      </w:pPr>
    </w:p>
    <w:p w14:paraId="72B37DDC" w14:textId="6A8E9203" w:rsidR="009011AB" w:rsidRDefault="008A300F" w:rsidP="00497221">
      <w:pPr>
        <w:pStyle w:val="MBT"/>
        <w:rPr>
          <w:color w:val="000000" w:themeColor="text1"/>
          <w:lang w:val="en-GB"/>
        </w:rPr>
      </w:pPr>
      <w:r>
        <w:rPr>
          <w:lang w:val="en-GB"/>
        </w:rPr>
        <w:t xml:space="preserve">In accordance with </w:t>
      </w:r>
      <w:r w:rsidR="00631690">
        <w:rPr>
          <w:lang w:val="en-GB"/>
        </w:rPr>
        <w:t xml:space="preserve">Article 6(1) of </w:t>
      </w:r>
      <w:r>
        <w:rPr>
          <w:lang w:val="en-GB"/>
        </w:rPr>
        <w:t>LN 97/2018 some of the members of the MRVA’s Board of Directors must also be involved in the direction of Identity Malta.</w:t>
      </w:r>
      <w:r w:rsidR="00631690">
        <w:rPr>
          <w:lang w:val="en-GB"/>
        </w:rPr>
        <w:t xml:space="preserve"> Similarly, </w:t>
      </w:r>
      <w:r w:rsidR="00631690">
        <w:t xml:space="preserve">Article 6(1) of LN 96/2018 requires </w:t>
      </w:r>
      <w:r w:rsidR="00631690">
        <w:rPr>
          <w:color w:val="000000" w:themeColor="text1"/>
          <w:lang w:val="en-GB"/>
        </w:rPr>
        <w:t>some of the members of the IIP Agency’s Board of Directors to be involved in the direction of Identity Malta.</w:t>
      </w:r>
      <w:r w:rsidR="0075681A">
        <w:rPr>
          <w:color w:val="000000" w:themeColor="text1"/>
          <w:lang w:val="en-GB"/>
        </w:rPr>
        <w:t xml:space="preserve"> The rationale for this involvement is not </w:t>
      </w:r>
      <w:r w:rsidR="009011AB">
        <w:rPr>
          <w:color w:val="000000" w:themeColor="text1"/>
          <w:lang w:val="en-GB"/>
        </w:rPr>
        <w:t>self-evident but it has been reported that to ‘ensure coordination in policy-setting, some of the directors will be common to all three agencies’.</w:t>
      </w:r>
      <w:r w:rsidR="009011AB">
        <w:rPr>
          <w:rStyle w:val="FootnoteReference"/>
          <w:color w:val="000000" w:themeColor="text1"/>
          <w:lang w:val="en-GB"/>
        </w:rPr>
        <w:footnoteReference w:id="32"/>
      </w:r>
    </w:p>
    <w:p w14:paraId="7B179672" w14:textId="77777777" w:rsidR="009011AB" w:rsidRDefault="009011AB" w:rsidP="00497221">
      <w:pPr>
        <w:pStyle w:val="MBT"/>
        <w:rPr>
          <w:color w:val="000000" w:themeColor="text1"/>
          <w:lang w:val="en-GB"/>
        </w:rPr>
      </w:pPr>
    </w:p>
    <w:p w14:paraId="025AE2DB" w14:textId="187798D3" w:rsidR="00497221" w:rsidRDefault="009011AB" w:rsidP="00497221">
      <w:pPr>
        <w:pStyle w:val="MBT"/>
        <w:rPr>
          <w:color w:val="000000" w:themeColor="text1"/>
          <w:lang w:val="en-GB"/>
        </w:rPr>
      </w:pPr>
      <w:r>
        <w:rPr>
          <w:color w:val="000000" w:themeColor="text1"/>
          <w:lang w:val="en-GB"/>
        </w:rPr>
        <w:t xml:space="preserve">The </w:t>
      </w:r>
      <w:r w:rsidR="00356C16">
        <w:rPr>
          <w:color w:val="000000" w:themeColor="text1"/>
          <w:lang w:val="en-GB"/>
        </w:rPr>
        <w:t xml:space="preserve">purpose of </w:t>
      </w:r>
      <w:r>
        <w:rPr>
          <w:color w:val="000000" w:themeColor="text1"/>
          <w:lang w:val="en-GB"/>
        </w:rPr>
        <w:t>the changes to the competent authorities introduced on 29 March 2018, appears to be solely the</w:t>
      </w:r>
      <w:r w:rsidR="00356C16">
        <w:rPr>
          <w:color w:val="000000" w:themeColor="text1"/>
          <w:lang w:val="en-GB"/>
        </w:rPr>
        <w:t xml:space="preserve"> setting up</w:t>
      </w:r>
      <w:r>
        <w:rPr>
          <w:color w:val="000000" w:themeColor="text1"/>
          <w:lang w:val="en-GB"/>
        </w:rPr>
        <w:t xml:space="preserve"> of these posts within the MRVA, Identity Malta and a new IIP Agency. </w:t>
      </w:r>
      <w:r w:rsidR="00FB2D83">
        <w:rPr>
          <w:color w:val="000000" w:themeColor="text1"/>
          <w:lang w:val="en-GB"/>
        </w:rPr>
        <w:t>There was no call for applications for these posts.</w:t>
      </w:r>
    </w:p>
    <w:p w14:paraId="33A648DA" w14:textId="0D45A180" w:rsidR="00356C16" w:rsidRDefault="00356C16" w:rsidP="00497221">
      <w:pPr>
        <w:pStyle w:val="MBT"/>
        <w:rPr>
          <w:color w:val="000000" w:themeColor="text1"/>
          <w:lang w:val="en-GB"/>
        </w:rPr>
      </w:pPr>
    </w:p>
    <w:p w14:paraId="435157DC" w14:textId="0AB1AC09" w:rsidR="00356C16" w:rsidRDefault="00356C16" w:rsidP="00497221">
      <w:pPr>
        <w:pStyle w:val="MBT"/>
        <w:rPr>
          <w:lang w:val="en-GB"/>
        </w:rPr>
      </w:pPr>
      <w:r>
        <w:rPr>
          <w:color w:val="000000" w:themeColor="text1"/>
          <w:lang w:val="en-GB"/>
        </w:rPr>
        <w:t>To sum up, the MRVA is the main competent authority with respect to the MRVA and the new IIP Agency is the competent authority with respect to the IIP.</w:t>
      </w:r>
      <w:r>
        <w:rPr>
          <w:rStyle w:val="FootnoteReference"/>
          <w:color w:val="000000" w:themeColor="text1"/>
          <w:lang w:val="en-GB"/>
        </w:rPr>
        <w:footnoteReference w:id="33"/>
      </w:r>
      <w:r>
        <w:rPr>
          <w:color w:val="000000" w:themeColor="text1"/>
          <w:lang w:val="en-GB"/>
        </w:rPr>
        <w:t xml:space="preserve"> Identity Malta is responsible for the issuance of residence permits and the registration of agents acting on behalf of MRVA or IIP applicants as described in point 1.2 of Section II below.</w:t>
      </w:r>
    </w:p>
    <w:p w14:paraId="42098F40" w14:textId="77777777" w:rsidR="00497221" w:rsidRDefault="00497221" w:rsidP="007E4F06">
      <w:pPr>
        <w:pStyle w:val="MBT"/>
        <w:rPr>
          <w:lang w:val="en-GB"/>
        </w:rPr>
      </w:pPr>
    </w:p>
    <w:p w14:paraId="4C8AB659" w14:textId="3E22B34D" w:rsidR="0094376B" w:rsidRDefault="0094376B" w:rsidP="00C83D3F">
      <w:pPr>
        <w:pStyle w:val="MBT"/>
        <w:numPr>
          <w:ilvl w:val="0"/>
          <w:numId w:val="31"/>
        </w:numPr>
        <w:rPr>
          <w:b/>
          <w:lang w:val="en-GB"/>
        </w:rPr>
      </w:pPr>
      <w:r w:rsidRPr="00C83D3F">
        <w:rPr>
          <w:b/>
          <w:lang w:val="en-GB"/>
        </w:rPr>
        <w:t>GRP</w:t>
      </w:r>
    </w:p>
    <w:p w14:paraId="5445729A" w14:textId="015D7DE7" w:rsidR="00A72CAE" w:rsidRDefault="00A72CAE" w:rsidP="00A72CAE">
      <w:pPr>
        <w:pStyle w:val="MBT"/>
        <w:rPr>
          <w:b/>
          <w:lang w:val="en-GB"/>
        </w:rPr>
      </w:pPr>
    </w:p>
    <w:p w14:paraId="324CD131" w14:textId="2A938430" w:rsidR="006D7D65" w:rsidRDefault="0074306A" w:rsidP="00A72CAE">
      <w:pPr>
        <w:pStyle w:val="MBT"/>
        <w:rPr>
          <w:lang w:val="en-GB"/>
        </w:rPr>
      </w:pPr>
      <w:r>
        <w:rPr>
          <w:lang w:val="en-GB"/>
        </w:rPr>
        <w:t>The</w:t>
      </w:r>
      <w:r w:rsidR="00723BF6">
        <w:rPr>
          <w:lang w:val="en-GB"/>
        </w:rPr>
        <w:t xml:space="preserve"> </w:t>
      </w:r>
      <w:r w:rsidR="006D7D65">
        <w:rPr>
          <w:lang w:val="en-GB"/>
        </w:rPr>
        <w:t>Parliamentary</w:t>
      </w:r>
      <w:r w:rsidR="00723BF6">
        <w:rPr>
          <w:lang w:val="en-GB"/>
        </w:rPr>
        <w:t xml:space="preserve"> Secretary for Competitiveness </w:t>
      </w:r>
      <w:r w:rsidR="006D7D65">
        <w:rPr>
          <w:lang w:val="en-GB"/>
        </w:rPr>
        <w:t>and Economic Growth</w:t>
      </w:r>
      <w:r>
        <w:rPr>
          <w:lang w:val="en-GB"/>
        </w:rPr>
        <w:t xml:space="preserve"> launched the GRP in 2013</w:t>
      </w:r>
      <w:r w:rsidR="006D7D65">
        <w:rPr>
          <w:lang w:val="en-GB"/>
        </w:rPr>
        <w:t>.</w:t>
      </w:r>
    </w:p>
    <w:p w14:paraId="10E8F316" w14:textId="77777777" w:rsidR="006D7D65" w:rsidRDefault="006D7D65" w:rsidP="00A72CAE">
      <w:pPr>
        <w:pStyle w:val="MBT"/>
        <w:rPr>
          <w:lang w:val="en-GB"/>
        </w:rPr>
      </w:pPr>
    </w:p>
    <w:p w14:paraId="2E90EA99" w14:textId="58EB2B33" w:rsidR="004C7C15" w:rsidRDefault="00497221" w:rsidP="004C7C15">
      <w:pPr>
        <w:pStyle w:val="MBT"/>
        <w:rPr>
          <w:lang w:val="en-GB"/>
        </w:rPr>
      </w:pPr>
      <w:r>
        <w:rPr>
          <w:lang w:val="en-GB"/>
        </w:rPr>
        <w:t xml:space="preserve">The </w:t>
      </w:r>
      <w:r w:rsidRPr="00C83D3F">
        <w:rPr>
          <w:b/>
          <w:lang w:val="en-GB"/>
        </w:rPr>
        <w:t>Commissioner for Revenue</w:t>
      </w:r>
      <w:r>
        <w:rPr>
          <w:lang w:val="en-GB"/>
        </w:rPr>
        <w:t xml:space="preserve"> within the Inland Revenue Department is the competent authority for the purposes of the GRP and falls within the responsibility of the Minister responsible for </w:t>
      </w:r>
      <w:r w:rsidR="00631690">
        <w:rPr>
          <w:lang w:val="en-GB"/>
        </w:rPr>
        <w:t>f</w:t>
      </w:r>
      <w:r>
        <w:rPr>
          <w:lang w:val="en-GB"/>
        </w:rPr>
        <w:t xml:space="preserve">inance and the Minister responsible for the </w:t>
      </w:r>
      <w:r w:rsidR="00631690">
        <w:rPr>
          <w:lang w:val="en-GB"/>
        </w:rPr>
        <w:t>economy, i</w:t>
      </w:r>
      <w:r>
        <w:rPr>
          <w:lang w:val="en-GB"/>
        </w:rPr>
        <w:t xml:space="preserve">nvestment and </w:t>
      </w:r>
      <w:r w:rsidR="00631690">
        <w:rPr>
          <w:lang w:val="en-GB"/>
        </w:rPr>
        <w:t>s</w:t>
      </w:r>
      <w:r>
        <w:rPr>
          <w:lang w:val="en-GB"/>
        </w:rPr>
        <w:t xml:space="preserve">mall </w:t>
      </w:r>
      <w:r w:rsidR="00631690">
        <w:rPr>
          <w:lang w:val="en-GB"/>
        </w:rPr>
        <w:t>b</w:t>
      </w:r>
      <w:r>
        <w:rPr>
          <w:lang w:val="en-GB"/>
        </w:rPr>
        <w:t xml:space="preserve">usiness. </w:t>
      </w:r>
      <w:r w:rsidR="004C7C15">
        <w:rPr>
          <w:lang w:val="en-GB"/>
        </w:rPr>
        <w:t xml:space="preserve">The Commissioner for Revenue is responsible for the administration of the </w:t>
      </w:r>
      <w:r w:rsidR="004C7C15" w:rsidRPr="00EE1F63">
        <w:rPr>
          <w:lang w:val="en-GB"/>
        </w:rPr>
        <w:t>Income Tax Act and the Income Tax Management Act.</w:t>
      </w:r>
      <w:r w:rsidR="004C7C15" w:rsidRPr="00EE1F63">
        <w:rPr>
          <w:rStyle w:val="FootnoteReference"/>
          <w:lang w:val="en-GB"/>
        </w:rPr>
        <w:footnoteReference w:id="34"/>
      </w:r>
      <w:r w:rsidR="004C7C15">
        <w:rPr>
          <w:lang w:val="en-GB"/>
        </w:rPr>
        <w:t xml:space="preserve"> </w:t>
      </w:r>
    </w:p>
    <w:p w14:paraId="7498AF21" w14:textId="684FCFFE" w:rsidR="00497221" w:rsidRDefault="00497221" w:rsidP="00A72CAE">
      <w:pPr>
        <w:pStyle w:val="MBT"/>
        <w:rPr>
          <w:lang w:val="en-GB"/>
        </w:rPr>
      </w:pPr>
    </w:p>
    <w:p w14:paraId="7AB3B166" w14:textId="0063EE85" w:rsidR="00A72CAE" w:rsidRDefault="00497221" w:rsidP="00A72CAE">
      <w:pPr>
        <w:pStyle w:val="MBT"/>
        <w:rPr>
          <w:lang w:val="en-GB"/>
        </w:rPr>
      </w:pPr>
      <w:r>
        <w:rPr>
          <w:lang w:val="en-GB"/>
        </w:rPr>
        <w:t xml:space="preserve">The Second Schedule to the Public Administration Act attributes the following functions to the Commissioner for Revenue: the administration of fiscal legislation in relation to income and other taxes; ensuring that all persons preforming an economic activity for consideration </w:t>
      </w:r>
      <w:r w:rsidR="008A300F">
        <w:rPr>
          <w:lang w:val="en-GB"/>
        </w:rPr>
        <w:t>duly register under the VAT Act</w:t>
      </w:r>
      <w:r w:rsidR="00631690">
        <w:rPr>
          <w:rStyle w:val="FootnoteReference"/>
          <w:lang w:val="en-GB"/>
        </w:rPr>
        <w:footnoteReference w:id="35"/>
      </w:r>
      <w:r>
        <w:rPr>
          <w:lang w:val="en-GB"/>
        </w:rPr>
        <w:t xml:space="preserve"> and collecting dues.</w:t>
      </w:r>
      <w:r w:rsidR="00631690">
        <w:rPr>
          <w:lang w:val="en-GB"/>
        </w:rPr>
        <w:t xml:space="preserve"> There is no reference to the Commissioner for Revenue having any </w:t>
      </w:r>
      <w:r w:rsidR="00631690">
        <w:rPr>
          <w:lang w:val="en-GB"/>
        </w:rPr>
        <w:lastRenderedPageBreak/>
        <w:t>competences in relation to residency.</w:t>
      </w:r>
      <w:r w:rsidR="00254818">
        <w:rPr>
          <w:lang w:val="en-GB"/>
        </w:rPr>
        <w:t xml:space="preserve"> The Commissioner for Revenue’s role in terms of the GRP and as described in Section II below is provided for solely by LN 167/2013 as subsidiary legislation issued under the Income Tax Act.</w:t>
      </w:r>
    </w:p>
    <w:p w14:paraId="1589D13D" w14:textId="77777777" w:rsidR="00900DB6" w:rsidRDefault="00900DB6" w:rsidP="00A72CAE">
      <w:pPr>
        <w:pStyle w:val="MBT"/>
        <w:rPr>
          <w:lang w:val="en-GB"/>
        </w:rPr>
      </w:pPr>
    </w:p>
    <w:p w14:paraId="2F97A2F3" w14:textId="0BD9C416" w:rsidR="00672AB6" w:rsidRPr="00672AB6" w:rsidRDefault="00900DB6" w:rsidP="00A72CAE">
      <w:pPr>
        <w:pStyle w:val="MBT"/>
        <w:rPr>
          <w:lang w:val="en-GB"/>
        </w:rPr>
      </w:pPr>
      <w:r>
        <w:rPr>
          <w:lang w:val="en-GB"/>
        </w:rPr>
        <w:t xml:space="preserve">Rights of entry and residence of GRP beneficiaries depend on whether they decide to meet the MRVP </w:t>
      </w:r>
      <w:proofErr w:type="gramStart"/>
      <w:r>
        <w:rPr>
          <w:lang w:val="en-GB"/>
        </w:rPr>
        <w:t>requirements, or</w:t>
      </w:r>
      <w:proofErr w:type="gramEnd"/>
      <w:r>
        <w:rPr>
          <w:lang w:val="en-GB"/>
        </w:rPr>
        <w:t xml:space="preserve"> </w:t>
      </w:r>
      <w:r w:rsidR="00E3288A">
        <w:rPr>
          <w:lang w:val="en-GB"/>
        </w:rPr>
        <w:t>apply for a</w:t>
      </w:r>
      <w:r w:rsidR="00556740">
        <w:rPr>
          <w:lang w:val="en-GB"/>
        </w:rPr>
        <w:t xml:space="preserve"> </w:t>
      </w:r>
      <w:r w:rsidR="00556740" w:rsidRPr="00346D85">
        <w:rPr>
          <w:lang w:val="en-GB"/>
        </w:rPr>
        <w:t>uniform</w:t>
      </w:r>
      <w:r w:rsidRPr="00346D85">
        <w:rPr>
          <w:lang w:val="en-GB"/>
        </w:rPr>
        <w:t xml:space="preserve"> residence permit. Competent authorities in the case of </w:t>
      </w:r>
      <w:r w:rsidR="009C6E5F" w:rsidRPr="00346D85">
        <w:rPr>
          <w:lang w:val="en-GB"/>
        </w:rPr>
        <w:t xml:space="preserve">the </w:t>
      </w:r>
      <w:r w:rsidRPr="00346D85">
        <w:rPr>
          <w:lang w:val="en-GB"/>
        </w:rPr>
        <w:t>MRVP are described above. If GRP beneficiaries opt for a</w:t>
      </w:r>
      <w:r w:rsidR="00556740" w:rsidRPr="00346D85">
        <w:rPr>
          <w:lang w:val="en-GB"/>
        </w:rPr>
        <w:t xml:space="preserve"> uniform</w:t>
      </w:r>
      <w:r w:rsidRPr="00346D85">
        <w:rPr>
          <w:lang w:val="en-GB"/>
        </w:rPr>
        <w:t xml:space="preserve"> residence permit under </w:t>
      </w:r>
      <w:r w:rsidR="00556740" w:rsidRPr="00346D85">
        <w:rPr>
          <w:lang w:val="en-GB"/>
        </w:rPr>
        <w:t xml:space="preserve">Article 12 of </w:t>
      </w:r>
      <w:r w:rsidRPr="00346D85">
        <w:rPr>
          <w:lang w:val="en-GB"/>
        </w:rPr>
        <w:t xml:space="preserve">the Immigration Act </w:t>
      </w:r>
      <w:r w:rsidR="002F1880" w:rsidRPr="00346D85">
        <w:rPr>
          <w:lang w:val="en-GB"/>
        </w:rPr>
        <w:t>and Immigration Regulations</w:t>
      </w:r>
      <w:r w:rsidRPr="00346D85">
        <w:rPr>
          <w:lang w:val="en-GB"/>
        </w:rPr>
        <w:t xml:space="preserve">, the competent </w:t>
      </w:r>
      <w:r w:rsidR="002F1880" w:rsidRPr="00346D85">
        <w:rPr>
          <w:lang w:val="en-GB"/>
        </w:rPr>
        <w:t>authority is</w:t>
      </w:r>
      <w:r w:rsidR="00672AB6" w:rsidRPr="00346D85">
        <w:rPr>
          <w:lang w:val="en-GB"/>
        </w:rPr>
        <w:t xml:space="preserve"> the </w:t>
      </w:r>
      <w:r w:rsidR="00672AB6" w:rsidRPr="00346D85">
        <w:rPr>
          <w:b/>
          <w:lang w:val="en-GB"/>
        </w:rPr>
        <w:t xml:space="preserve">Department </w:t>
      </w:r>
      <w:r w:rsidR="00346D85">
        <w:rPr>
          <w:b/>
          <w:lang w:val="en-GB"/>
        </w:rPr>
        <w:t xml:space="preserve">for </w:t>
      </w:r>
      <w:r w:rsidR="00672AB6" w:rsidRPr="00346D85">
        <w:rPr>
          <w:b/>
          <w:lang w:val="en-GB"/>
        </w:rPr>
        <w:t xml:space="preserve">Citizenship and Expatriate Affairs </w:t>
      </w:r>
      <w:r w:rsidR="00672AB6" w:rsidRPr="00346D85">
        <w:rPr>
          <w:lang w:val="en-GB"/>
        </w:rPr>
        <w:t xml:space="preserve">at </w:t>
      </w:r>
      <w:r w:rsidR="00672AB6" w:rsidRPr="00346D85">
        <w:rPr>
          <w:b/>
          <w:lang w:val="en-GB"/>
        </w:rPr>
        <w:t>Identity Malta</w:t>
      </w:r>
      <w:r w:rsidR="00672AB6" w:rsidRPr="00346D85">
        <w:rPr>
          <w:lang w:val="en-GB"/>
        </w:rPr>
        <w:t>.</w:t>
      </w:r>
    </w:p>
    <w:p w14:paraId="1BFD39B0" w14:textId="77777777" w:rsidR="00AC2EEB" w:rsidRDefault="00AC2EEB" w:rsidP="002D1370">
      <w:pPr>
        <w:pStyle w:val="MH1nonumb"/>
        <w:numPr>
          <w:ilvl w:val="0"/>
          <w:numId w:val="10"/>
        </w:numPr>
        <w:spacing w:after="0"/>
        <w:ind w:left="426" w:hanging="284"/>
      </w:pPr>
      <w:bookmarkStart w:id="5" w:name="_Toc496025533"/>
      <w:bookmarkStart w:id="6" w:name="_Toc496124920"/>
      <w:bookmarkStart w:id="7" w:name="_Toc517765939"/>
      <w:r w:rsidRPr="00523824">
        <w:lastRenderedPageBreak/>
        <w:t>PROCEDURES, COMPETENT AUTHORITIES AND APPLICABLE CRITERIA</w:t>
      </w:r>
      <w:bookmarkEnd w:id="5"/>
      <w:bookmarkEnd w:id="6"/>
      <w:bookmarkEnd w:id="7"/>
    </w:p>
    <w:p w14:paraId="0FE67AE7" w14:textId="77777777" w:rsidR="002D1370" w:rsidRPr="002D1370" w:rsidRDefault="002D1370" w:rsidP="002D1370">
      <w:pPr>
        <w:pStyle w:val="MBT"/>
      </w:pPr>
    </w:p>
    <w:p w14:paraId="5DA84809" w14:textId="1A6AB69C" w:rsidR="00B311A7" w:rsidRPr="0077457F" w:rsidRDefault="00AC2EEB" w:rsidP="002D1370">
      <w:pPr>
        <w:pStyle w:val="MH1"/>
        <w:pageBreakBefore w:val="0"/>
        <w:spacing w:after="0"/>
        <w:ind w:left="431" w:hanging="431"/>
      </w:pPr>
      <w:bookmarkStart w:id="8" w:name="_Toc496025534"/>
      <w:bookmarkStart w:id="9" w:name="_Toc496124921"/>
      <w:bookmarkStart w:id="10" w:name="_Toc517765940"/>
      <w:r w:rsidRPr="00523824">
        <w:t>Application Phase</w:t>
      </w:r>
      <w:bookmarkEnd w:id="8"/>
      <w:bookmarkEnd w:id="9"/>
      <w:bookmarkEnd w:id="10"/>
    </w:p>
    <w:p w14:paraId="4FDBD453" w14:textId="77777777" w:rsidR="001C1E15" w:rsidRPr="00523824" w:rsidRDefault="001C1E15" w:rsidP="002D1370">
      <w:pPr>
        <w:pStyle w:val="MBT"/>
        <w:rPr>
          <w:lang w:val="en-GB"/>
        </w:rPr>
      </w:pPr>
    </w:p>
    <w:p w14:paraId="1805A2B9" w14:textId="77777777" w:rsidR="002D1370" w:rsidRDefault="00B311A7" w:rsidP="002D1370">
      <w:pPr>
        <w:pStyle w:val="MH2"/>
        <w:spacing w:after="0"/>
        <w:outlineLvl w:val="9"/>
      </w:pPr>
      <w:bookmarkStart w:id="11" w:name="_Toc379109057"/>
      <w:r w:rsidRPr="00523824">
        <w:t>Procedures</w:t>
      </w:r>
      <w:bookmarkEnd w:id="11"/>
    </w:p>
    <w:p w14:paraId="1993A120" w14:textId="38BC550B" w:rsidR="00073BC0" w:rsidRPr="002D1370" w:rsidRDefault="00073BC0" w:rsidP="002D1370">
      <w:pPr>
        <w:pStyle w:val="MH2"/>
        <w:numPr>
          <w:ilvl w:val="0"/>
          <w:numId w:val="0"/>
        </w:numPr>
        <w:spacing w:after="0"/>
        <w:ind w:left="578"/>
        <w:outlineLvl w:val="9"/>
        <w:rPr>
          <w:i/>
          <w:color w:val="FF0000"/>
          <w:highlight w:val="yellow"/>
        </w:rPr>
      </w:pPr>
    </w:p>
    <w:p w14:paraId="4FDE9B0C" w14:textId="77777777" w:rsidR="0094376B" w:rsidRPr="00B5305A" w:rsidRDefault="0094376B" w:rsidP="00B5305A">
      <w:pPr>
        <w:pStyle w:val="MBT"/>
        <w:numPr>
          <w:ilvl w:val="0"/>
          <w:numId w:val="32"/>
        </w:numPr>
        <w:rPr>
          <w:b/>
          <w:lang w:val="en-GB"/>
        </w:rPr>
      </w:pPr>
      <w:r w:rsidRPr="00B5305A">
        <w:rPr>
          <w:b/>
          <w:lang w:val="en-GB"/>
        </w:rPr>
        <w:t>MRVP</w:t>
      </w:r>
    </w:p>
    <w:p w14:paraId="5243D48A" w14:textId="77777777" w:rsidR="0094376B" w:rsidRDefault="0094376B" w:rsidP="0094376B">
      <w:pPr>
        <w:pStyle w:val="MBT"/>
        <w:rPr>
          <w:lang w:val="en-GB"/>
        </w:rPr>
      </w:pPr>
    </w:p>
    <w:p w14:paraId="28DD5CF9" w14:textId="29EF0948" w:rsidR="00E3010C" w:rsidRDefault="0014120F" w:rsidP="0094376B">
      <w:pPr>
        <w:pStyle w:val="MBT"/>
        <w:rPr>
          <w:lang w:val="en-GB"/>
        </w:rPr>
      </w:pPr>
      <w:r>
        <w:rPr>
          <w:lang w:val="en-GB"/>
        </w:rPr>
        <w:t xml:space="preserve">Regulation 2 of LN 288/2015 defines the ‘main applicant’ as an individual who has filed an </w:t>
      </w:r>
      <w:r w:rsidRPr="00547E3F">
        <w:rPr>
          <w:b/>
          <w:lang w:val="en-GB"/>
        </w:rPr>
        <w:t>application</w:t>
      </w:r>
      <w:r>
        <w:rPr>
          <w:lang w:val="en-GB"/>
        </w:rPr>
        <w:t xml:space="preserve"> in terms of Regulation 5</w:t>
      </w:r>
      <w:r w:rsidR="00547E3F">
        <w:rPr>
          <w:lang w:val="en-GB"/>
        </w:rPr>
        <w:t>. In accordance with Regulation 5,</w:t>
      </w:r>
      <w:r w:rsidR="00CE2A44">
        <w:rPr>
          <w:lang w:val="en-GB"/>
        </w:rPr>
        <w:t xml:space="preserve"> </w:t>
      </w:r>
      <w:r w:rsidRPr="004A44E6">
        <w:rPr>
          <w:b/>
          <w:lang w:val="en-GB"/>
        </w:rPr>
        <w:t>individuals duly represented by a registered approved agent and/or registered accredited person</w:t>
      </w:r>
      <w:r w:rsidR="00E3010C">
        <w:rPr>
          <w:rStyle w:val="FootnoteReference"/>
          <w:lang w:val="en-GB"/>
        </w:rPr>
        <w:footnoteReference w:id="36"/>
      </w:r>
      <w:r w:rsidR="00FA2712">
        <w:rPr>
          <w:lang w:val="en-GB"/>
        </w:rPr>
        <w:t xml:space="preserve"> may apply to the MRVA</w:t>
      </w:r>
      <w:r>
        <w:rPr>
          <w:lang w:val="en-GB"/>
        </w:rPr>
        <w:t xml:space="preserve"> for the issuance of a </w:t>
      </w:r>
      <w:r w:rsidR="00D32CA8">
        <w:rPr>
          <w:lang w:val="en-GB"/>
        </w:rPr>
        <w:t xml:space="preserve">residence </w:t>
      </w:r>
      <w:r>
        <w:rPr>
          <w:lang w:val="en-GB"/>
        </w:rPr>
        <w:t xml:space="preserve">certificate under the regulations. </w:t>
      </w:r>
    </w:p>
    <w:p w14:paraId="56D7381E" w14:textId="77777777" w:rsidR="00197F2A" w:rsidRDefault="00197F2A" w:rsidP="00073BC0">
      <w:pPr>
        <w:pStyle w:val="MBT"/>
        <w:rPr>
          <w:lang w:val="en-GB"/>
        </w:rPr>
      </w:pPr>
    </w:p>
    <w:p w14:paraId="7B348B24" w14:textId="2374E123" w:rsidR="00197F2A" w:rsidRDefault="00197F2A" w:rsidP="00FA2712">
      <w:pPr>
        <w:pStyle w:val="MBT"/>
        <w:rPr>
          <w:lang w:val="en-GB"/>
        </w:rPr>
      </w:pPr>
      <w:r>
        <w:rPr>
          <w:lang w:val="en-GB"/>
        </w:rPr>
        <w:t xml:space="preserve">Regulation 6 of LN 288/2015 sets out the </w:t>
      </w:r>
      <w:r w:rsidRPr="0014120F">
        <w:rPr>
          <w:b/>
          <w:lang w:val="en-GB"/>
        </w:rPr>
        <w:t>qualifications and general requirements</w:t>
      </w:r>
      <w:r>
        <w:rPr>
          <w:lang w:val="en-GB"/>
        </w:rPr>
        <w:t xml:space="preserve"> for a person to be issued a certificate under the regulations. </w:t>
      </w:r>
      <w:r w:rsidR="00FA2712">
        <w:rPr>
          <w:lang w:val="en-GB"/>
        </w:rPr>
        <w:t xml:space="preserve">In addition to being at least 18 years of age and meeting the application requirements, the person must make commitments to: provide </w:t>
      </w:r>
      <w:r w:rsidRPr="00FA2712">
        <w:rPr>
          <w:lang w:val="en-GB"/>
        </w:rPr>
        <w:t>proof of title to a qualifying property in Malta; invest in a qualifying investment;</w:t>
      </w:r>
      <w:r w:rsidR="00FA2712">
        <w:rPr>
          <w:lang w:val="en-GB"/>
        </w:rPr>
        <w:t xml:space="preserve"> </w:t>
      </w:r>
      <w:r>
        <w:rPr>
          <w:lang w:val="en-GB"/>
        </w:rPr>
        <w:t>pay in full the contribution</w:t>
      </w:r>
      <w:r w:rsidR="00F975EE">
        <w:rPr>
          <w:lang w:val="en-GB"/>
        </w:rPr>
        <w:t>.</w:t>
      </w:r>
      <w:r>
        <w:rPr>
          <w:rStyle w:val="FootnoteReference"/>
          <w:lang w:val="en-GB"/>
        </w:rPr>
        <w:footnoteReference w:id="37"/>
      </w:r>
      <w:r w:rsidR="00D32CA8">
        <w:rPr>
          <w:lang w:val="en-GB"/>
        </w:rPr>
        <w:t xml:space="preserve"> Further details are provided in</w:t>
      </w:r>
      <w:r w:rsidR="00BC5668">
        <w:rPr>
          <w:lang w:val="en-GB"/>
        </w:rPr>
        <w:t xml:space="preserve"> point 2 of Section II below.</w:t>
      </w:r>
    </w:p>
    <w:p w14:paraId="69725F3E" w14:textId="77777777" w:rsidR="00197F2A" w:rsidRDefault="00197F2A" w:rsidP="00197F2A">
      <w:pPr>
        <w:pStyle w:val="MBT"/>
        <w:rPr>
          <w:lang w:val="en-GB"/>
        </w:rPr>
      </w:pPr>
    </w:p>
    <w:p w14:paraId="63BCB73F" w14:textId="7BFAD8C5" w:rsidR="00197F2A" w:rsidRDefault="00197F2A" w:rsidP="00197F2A">
      <w:pPr>
        <w:pStyle w:val="MBT"/>
        <w:rPr>
          <w:lang w:val="en-GB"/>
        </w:rPr>
      </w:pPr>
      <w:r>
        <w:rPr>
          <w:lang w:val="en-GB"/>
        </w:rPr>
        <w:t xml:space="preserve">Applications must be accompanied by the </w:t>
      </w:r>
      <w:r w:rsidRPr="004A44E6">
        <w:rPr>
          <w:b/>
          <w:lang w:val="en-GB"/>
        </w:rPr>
        <w:t xml:space="preserve">non-refundable administrative fee </w:t>
      </w:r>
      <w:r>
        <w:rPr>
          <w:lang w:val="en-GB"/>
        </w:rPr>
        <w:t xml:space="preserve">and by </w:t>
      </w:r>
      <w:r w:rsidRPr="004A44E6">
        <w:rPr>
          <w:b/>
          <w:lang w:val="en-GB"/>
        </w:rPr>
        <w:t>originals or certified copies</w:t>
      </w:r>
      <w:r w:rsidRPr="00522CD7">
        <w:rPr>
          <w:rStyle w:val="FootnoteReference"/>
          <w:lang w:val="en-GB"/>
        </w:rPr>
        <w:footnoteReference w:id="38"/>
      </w:r>
      <w:r w:rsidRPr="00522CD7">
        <w:rPr>
          <w:lang w:val="en-GB"/>
        </w:rPr>
        <w:t xml:space="preserve"> </w:t>
      </w:r>
      <w:r w:rsidRPr="004A44E6">
        <w:rPr>
          <w:b/>
          <w:lang w:val="en-GB"/>
        </w:rPr>
        <w:t>of</w:t>
      </w:r>
      <w:r w:rsidR="00F975EE">
        <w:rPr>
          <w:lang w:val="en-GB"/>
        </w:rPr>
        <w:t>:</w:t>
      </w:r>
      <w:r>
        <w:rPr>
          <w:rStyle w:val="FootnoteReference"/>
          <w:lang w:val="en-GB"/>
        </w:rPr>
        <w:footnoteReference w:id="39"/>
      </w:r>
    </w:p>
    <w:p w14:paraId="04379989" w14:textId="77777777" w:rsidR="00CB1D66" w:rsidRDefault="00CB1D66" w:rsidP="00197F2A">
      <w:pPr>
        <w:pStyle w:val="MBT"/>
        <w:rPr>
          <w:lang w:val="en-GB"/>
        </w:rPr>
      </w:pPr>
    </w:p>
    <w:p w14:paraId="34E80C02" w14:textId="566EE750" w:rsidR="00CB1D66" w:rsidRDefault="00197F2A" w:rsidP="00CB1D66">
      <w:pPr>
        <w:pStyle w:val="MBT"/>
        <w:numPr>
          <w:ilvl w:val="0"/>
          <w:numId w:val="22"/>
        </w:numPr>
        <w:rPr>
          <w:lang w:val="en-GB"/>
        </w:rPr>
      </w:pPr>
      <w:r>
        <w:rPr>
          <w:lang w:val="en-GB"/>
        </w:rPr>
        <w:t>A police certificate in relation to the main applicant and any dependant</w:t>
      </w:r>
      <w:r w:rsidR="00BC5668">
        <w:rPr>
          <w:rStyle w:val="FootnoteReference"/>
          <w:lang w:val="en-GB"/>
        </w:rPr>
        <w:footnoteReference w:id="40"/>
      </w:r>
      <w:r>
        <w:rPr>
          <w:lang w:val="en-GB"/>
        </w:rPr>
        <w:t xml:space="preserve"> </w:t>
      </w:r>
      <w:r w:rsidR="00CB1D66">
        <w:rPr>
          <w:lang w:val="en-GB"/>
        </w:rPr>
        <w:t>over</w:t>
      </w:r>
      <w:r>
        <w:rPr>
          <w:lang w:val="en-GB"/>
        </w:rPr>
        <w:t xml:space="preserve"> 14 years of age at the time of application, issued by the competent authorities in the country of origin and in the country or countries of residence where such a person resided for more than six months during the last ten years. In exceptional </w:t>
      </w:r>
      <w:r w:rsidR="00CB1D66">
        <w:rPr>
          <w:lang w:val="en-GB"/>
        </w:rPr>
        <w:t>cases, where it is proved to</w:t>
      </w:r>
      <w:r>
        <w:rPr>
          <w:lang w:val="en-GB"/>
        </w:rPr>
        <w:t xml:space="preserve"> MRVA’s satisfaction that this certificate is not obtainable, a sworn affidavit by the main applicant on his own behalf or on behalf of each minor dependant over 14 years of age, and any adult dependant, on his own behalf, declaring a clean criminal record can be submitted. In certain circumstances the MRVA may accept that such certificates are submitted at a later date </w:t>
      </w:r>
      <w:proofErr w:type="gramStart"/>
      <w:r>
        <w:rPr>
          <w:lang w:val="en-GB"/>
        </w:rPr>
        <w:t xml:space="preserve">but in any case </w:t>
      </w:r>
      <w:proofErr w:type="gramEnd"/>
      <w:r>
        <w:rPr>
          <w:lang w:val="en-GB"/>
        </w:rPr>
        <w:t>before the application is approved in principle.</w:t>
      </w:r>
    </w:p>
    <w:p w14:paraId="2FF0FA82" w14:textId="01500F7C" w:rsidR="00CB1D66" w:rsidRDefault="00197F2A" w:rsidP="00CB1D66">
      <w:pPr>
        <w:pStyle w:val="MBT"/>
        <w:numPr>
          <w:ilvl w:val="0"/>
          <w:numId w:val="22"/>
        </w:numPr>
        <w:rPr>
          <w:lang w:val="en-GB"/>
        </w:rPr>
      </w:pPr>
      <w:r w:rsidRPr="00CB1D66">
        <w:rPr>
          <w:lang w:val="en-GB"/>
        </w:rPr>
        <w:t xml:space="preserve">Evidence, through a ‘know your customer’ basis, due diligence processes, carried out by the registered approved agent and/or registered accredited person that there is no </w:t>
      </w:r>
      <w:r w:rsidRPr="00CB1D66">
        <w:rPr>
          <w:i/>
          <w:lang w:val="en-GB"/>
        </w:rPr>
        <w:t>a priori</w:t>
      </w:r>
      <w:r w:rsidRPr="00CB1D66">
        <w:rPr>
          <w:lang w:val="en-GB"/>
        </w:rPr>
        <w:t xml:space="preserve"> evidence that the main applicant and dependants</w:t>
      </w:r>
      <w:r w:rsidR="00F975EE">
        <w:rPr>
          <w:lang w:val="en-GB"/>
        </w:rPr>
        <w:t xml:space="preserve"> are not fit and proper persons.</w:t>
      </w:r>
    </w:p>
    <w:p w14:paraId="1FF8C6F3" w14:textId="30493BAE" w:rsidR="00CB1D66" w:rsidRDefault="00197F2A" w:rsidP="00CB1D66">
      <w:pPr>
        <w:pStyle w:val="MBT"/>
        <w:numPr>
          <w:ilvl w:val="0"/>
          <w:numId w:val="22"/>
        </w:numPr>
        <w:rPr>
          <w:lang w:val="en-GB"/>
        </w:rPr>
      </w:pPr>
      <w:r w:rsidRPr="00CB1D66">
        <w:rPr>
          <w:lang w:val="en-GB"/>
        </w:rPr>
        <w:t>Undertaking to purchase or lease a qualifying immova</w:t>
      </w:r>
      <w:r w:rsidR="00F975EE">
        <w:rPr>
          <w:lang w:val="en-GB"/>
        </w:rPr>
        <w:t>ble property in Malta.</w:t>
      </w:r>
    </w:p>
    <w:p w14:paraId="4BFC8F8F" w14:textId="0787DBC6" w:rsidR="00CB1D66" w:rsidRDefault="00197F2A" w:rsidP="00CB1D66">
      <w:pPr>
        <w:pStyle w:val="MBT"/>
        <w:numPr>
          <w:ilvl w:val="0"/>
          <w:numId w:val="22"/>
        </w:numPr>
        <w:rPr>
          <w:lang w:val="en-GB"/>
        </w:rPr>
      </w:pPr>
      <w:r w:rsidRPr="00CB1D66">
        <w:rPr>
          <w:lang w:val="en-GB"/>
        </w:rPr>
        <w:t>Undertaking, if necessary, to make other investments in Malta</w:t>
      </w:r>
      <w:r w:rsidR="00F975EE">
        <w:rPr>
          <w:lang w:val="en-GB"/>
        </w:rPr>
        <w:t xml:space="preserve"> in accordance with LN 288/2015.</w:t>
      </w:r>
    </w:p>
    <w:p w14:paraId="34A9647C" w14:textId="5EC395EE" w:rsidR="00CB1D66" w:rsidRDefault="00197F2A" w:rsidP="00CB1D66">
      <w:pPr>
        <w:pStyle w:val="MBT"/>
        <w:numPr>
          <w:ilvl w:val="0"/>
          <w:numId w:val="22"/>
        </w:numPr>
        <w:rPr>
          <w:lang w:val="en-GB"/>
        </w:rPr>
      </w:pPr>
      <w:r w:rsidRPr="00CB1D66">
        <w:rPr>
          <w:lang w:val="en-GB"/>
        </w:rPr>
        <w:t>Undertaking to remit the total of the required contribution, less the no</w:t>
      </w:r>
      <w:r w:rsidR="00F975EE">
        <w:rPr>
          <w:lang w:val="en-GB"/>
        </w:rPr>
        <w:t>n-refundable administrative fee.</w:t>
      </w:r>
    </w:p>
    <w:p w14:paraId="13C2D1C5" w14:textId="27DCD5AC" w:rsidR="00CB1D66" w:rsidRDefault="00197F2A" w:rsidP="00CB1D66">
      <w:pPr>
        <w:pStyle w:val="MBT"/>
        <w:numPr>
          <w:ilvl w:val="0"/>
          <w:numId w:val="22"/>
        </w:numPr>
        <w:rPr>
          <w:lang w:val="en-GB"/>
        </w:rPr>
      </w:pPr>
      <w:r w:rsidRPr="00CB1D66">
        <w:rPr>
          <w:lang w:val="en-GB"/>
        </w:rPr>
        <w:t>A certificate from a reputable health system that the main applicant and dependants are not suffering from any contagious disease and are otherwise in good health and will not be, in terms of the medical review carried out by the MRVA, of an unreasonable burden on the national health syste</w:t>
      </w:r>
      <w:r w:rsidR="00F975EE">
        <w:rPr>
          <w:lang w:val="en-GB"/>
        </w:rPr>
        <w:t>m.</w:t>
      </w:r>
    </w:p>
    <w:p w14:paraId="5B4F954A" w14:textId="77EC0593" w:rsidR="00D9383B" w:rsidRPr="00CB1D66" w:rsidRDefault="00197F2A" w:rsidP="00D9383B">
      <w:pPr>
        <w:pStyle w:val="MBT"/>
        <w:numPr>
          <w:ilvl w:val="0"/>
          <w:numId w:val="22"/>
        </w:numPr>
        <w:rPr>
          <w:lang w:val="en-GB"/>
        </w:rPr>
      </w:pPr>
      <w:r w:rsidRPr="00D9383B">
        <w:rPr>
          <w:lang w:val="en-GB"/>
        </w:rPr>
        <w:t>Any other document as the MRVA may require from time to time</w:t>
      </w:r>
      <w:r w:rsidR="00140C33" w:rsidRPr="00D9383B">
        <w:rPr>
          <w:lang w:val="en-GB"/>
        </w:rPr>
        <w:t>.</w:t>
      </w:r>
      <w:r w:rsidR="0075681A" w:rsidRPr="00D9383B">
        <w:rPr>
          <w:lang w:val="en-GB"/>
        </w:rPr>
        <w:t xml:space="preserve"> </w:t>
      </w:r>
      <w:r w:rsidR="00D9383B">
        <w:rPr>
          <w:lang w:val="en-GB"/>
        </w:rPr>
        <w:t xml:space="preserve">This grants the MRVA discretion to ask for other documents, but it is not stated what these might be nor were any other </w:t>
      </w:r>
      <w:r w:rsidR="00D9383B">
        <w:rPr>
          <w:lang w:val="en-GB"/>
        </w:rPr>
        <w:lastRenderedPageBreak/>
        <w:t>documents mentioned by the MRVA representative consulted</w:t>
      </w:r>
      <w:r w:rsidR="00D9383B" w:rsidRPr="00CB1D66">
        <w:rPr>
          <w:lang w:val="en-GB"/>
        </w:rPr>
        <w:t>.</w:t>
      </w:r>
      <w:r w:rsidR="00D9383B">
        <w:rPr>
          <w:rStyle w:val="FootnoteReference"/>
          <w:lang w:val="en-GB"/>
        </w:rPr>
        <w:footnoteReference w:id="41"/>
      </w:r>
    </w:p>
    <w:p w14:paraId="2F5C6DFE" w14:textId="77777777" w:rsidR="00197F2A" w:rsidRPr="00D9383B" w:rsidRDefault="00197F2A" w:rsidP="00D9383B">
      <w:pPr>
        <w:pStyle w:val="MBT"/>
        <w:ind w:left="720"/>
        <w:rPr>
          <w:lang w:val="en-GB"/>
        </w:rPr>
      </w:pPr>
    </w:p>
    <w:p w14:paraId="025F99F4" w14:textId="76EC56D5" w:rsidR="00197F2A" w:rsidRDefault="00197F2A" w:rsidP="00197F2A">
      <w:pPr>
        <w:pStyle w:val="MBT"/>
        <w:rPr>
          <w:lang w:val="en-GB"/>
        </w:rPr>
      </w:pPr>
      <w:r>
        <w:rPr>
          <w:lang w:val="en-GB"/>
        </w:rPr>
        <w:t xml:space="preserve">Applications must be done in the </w:t>
      </w:r>
      <w:r w:rsidRPr="004A44E6">
        <w:rPr>
          <w:b/>
          <w:lang w:val="en-GB"/>
        </w:rPr>
        <w:t>form prescribed by the MRVA</w:t>
      </w:r>
      <w:r>
        <w:rPr>
          <w:lang w:val="en-GB"/>
        </w:rPr>
        <w:t xml:space="preserve"> and require a </w:t>
      </w:r>
      <w:r w:rsidRPr="004A44E6">
        <w:rPr>
          <w:b/>
          <w:lang w:val="en-GB"/>
        </w:rPr>
        <w:t>payment of a non-refundable administrative fee</w:t>
      </w:r>
      <w:r>
        <w:rPr>
          <w:rStyle w:val="FootnoteReference"/>
          <w:lang w:val="en-GB"/>
        </w:rPr>
        <w:footnoteReference w:id="42"/>
      </w:r>
      <w:r>
        <w:rPr>
          <w:lang w:val="en-GB"/>
        </w:rPr>
        <w:t xml:space="preserve"> of EUR 5,</w:t>
      </w:r>
      <w:r w:rsidR="00701CD6">
        <w:rPr>
          <w:lang w:val="en-GB"/>
        </w:rPr>
        <w:t>500</w:t>
      </w:r>
      <w:r w:rsidR="00F975EE">
        <w:rPr>
          <w:lang w:val="en-GB"/>
        </w:rPr>
        <w:t>.</w:t>
      </w:r>
      <w:r>
        <w:rPr>
          <w:rStyle w:val="FootnoteReference"/>
          <w:lang w:val="en-GB"/>
        </w:rPr>
        <w:footnoteReference w:id="43"/>
      </w:r>
      <w:r>
        <w:rPr>
          <w:lang w:val="en-GB"/>
        </w:rPr>
        <w:t xml:space="preserve"> Application forms and accompanying documents must be completed in English. If the original language of the document is not English, it must be accompanied by an authenticated translation</w:t>
      </w:r>
      <w:r w:rsidR="00F975EE">
        <w:rPr>
          <w:lang w:val="en-GB"/>
        </w:rPr>
        <w:t>.</w:t>
      </w:r>
      <w:r>
        <w:rPr>
          <w:rStyle w:val="FootnoteReference"/>
          <w:lang w:val="en-GB"/>
        </w:rPr>
        <w:footnoteReference w:id="44"/>
      </w:r>
      <w:r w:rsidR="00BC5668">
        <w:rPr>
          <w:lang w:val="en-GB"/>
        </w:rPr>
        <w:t xml:space="preserve"> It is noted that the application forms are not readily available on the MRVA’s website – a password is necessary in order to obtain access.</w:t>
      </w:r>
      <w:r w:rsidR="0075681A">
        <w:rPr>
          <w:lang w:val="en-GB"/>
        </w:rPr>
        <w:t xml:space="preserve"> The website does not provide details on how to obtain a password.</w:t>
      </w:r>
    </w:p>
    <w:p w14:paraId="28A1CC3B" w14:textId="77777777" w:rsidR="00197F2A" w:rsidRDefault="00197F2A" w:rsidP="00197F2A">
      <w:pPr>
        <w:pStyle w:val="MBT"/>
        <w:rPr>
          <w:lang w:val="en-GB"/>
        </w:rPr>
      </w:pPr>
    </w:p>
    <w:p w14:paraId="093C0049" w14:textId="1C9411FE" w:rsidR="00E153EF" w:rsidRDefault="0014120F" w:rsidP="00073BC0">
      <w:pPr>
        <w:pStyle w:val="MBT"/>
        <w:rPr>
          <w:lang w:val="en-GB"/>
        </w:rPr>
      </w:pPr>
      <w:r>
        <w:rPr>
          <w:lang w:val="en-GB"/>
        </w:rPr>
        <w:t>Where the individual qualifies as a beneficiary</w:t>
      </w:r>
      <w:r w:rsidR="00F975EE">
        <w:rPr>
          <w:lang w:val="en-GB"/>
        </w:rPr>
        <w:t>,</w:t>
      </w:r>
      <w:r w:rsidR="00547E3F">
        <w:rPr>
          <w:rStyle w:val="FootnoteReference"/>
          <w:lang w:val="en-GB"/>
        </w:rPr>
        <w:footnoteReference w:id="45"/>
      </w:r>
      <w:r>
        <w:rPr>
          <w:lang w:val="en-GB"/>
        </w:rPr>
        <w:t xml:space="preserve"> the </w:t>
      </w:r>
      <w:r w:rsidRPr="00E153EF">
        <w:rPr>
          <w:b/>
          <w:lang w:val="en-GB"/>
        </w:rPr>
        <w:t xml:space="preserve">MRVA will determine in writing that </w:t>
      </w:r>
      <w:r w:rsidR="00AB1618">
        <w:rPr>
          <w:b/>
          <w:lang w:val="en-GB"/>
        </w:rPr>
        <w:t xml:space="preserve">s/he </w:t>
      </w:r>
      <w:r w:rsidRPr="00E153EF">
        <w:rPr>
          <w:b/>
          <w:lang w:val="en-GB"/>
        </w:rPr>
        <w:t>is to be issued a certificate</w:t>
      </w:r>
      <w:r>
        <w:rPr>
          <w:lang w:val="en-GB"/>
        </w:rPr>
        <w:t xml:space="preserve"> under the regulations</w:t>
      </w:r>
      <w:r w:rsidR="00F975EE">
        <w:rPr>
          <w:lang w:val="en-GB"/>
        </w:rPr>
        <w:t>.</w:t>
      </w:r>
      <w:r w:rsidR="00AB1618">
        <w:rPr>
          <w:rStyle w:val="FootnoteReference"/>
          <w:lang w:val="en-GB"/>
        </w:rPr>
        <w:footnoteReference w:id="46"/>
      </w:r>
      <w:r>
        <w:rPr>
          <w:lang w:val="en-GB"/>
        </w:rPr>
        <w:t xml:space="preserve"> </w:t>
      </w:r>
    </w:p>
    <w:p w14:paraId="7F28D58D" w14:textId="77777777" w:rsidR="00E153EF" w:rsidRDefault="00E153EF" w:rsidP="00073BC0">
      <w:pPr>
        <w:pStyle w:val="MBT"/>
        <w:rPr>
          <w:lang w:val="en-GB"/>
        </w:rPr>
      </w:pPr>
    </w:p>
    <w:p w14:paraId="3714EFAD" w14:textId="59DD18C7" w:rsidR="00CE2A44" w:rsidRDefault="00CE2A44" w:rsidP="00073BC0">
      <w:pPr>
        <w:pStyle w:val="MBT"/>
        <w:rPr>
          <w:lang w:val="en-GB"/>
        </w:rPr>
      </w:pPr>
      <w:r>
        <w:rPr>
          <w:lang w:val="en-GB"/>
        </w:rPr>
        <w:t>Following this determination</w:t>
      </w:r>
      <w:r w:rsidR="00AB1618">
        <w:rPr>
          <w:lang w:val="en-GB"/>
        </w:rPr>
        <w:t xml:space="preserve"> in writing</w:t>
      </w:r>
      <w:r>
        <w:rPr>
          <w:lang w:val="en-GB"/>
        </w:rPr>
        <w:t xml:space="preserve"> and </w:t>
      </w:r>
      <w:r w:rsidRPr="00E153EF">
        <w:rPr>
          <w:b/>
          <w:lang w:val="en-GB"/>
        </w:rPr>
        <w:t>prior to issuance of the certificate</w:t>
      </w:r>
      <w:r>
        <w:rPr>
          <w:lang w:val="en-GB"/>
        </w:rPr>
        <w:t>, the main applicant (as represented by a registered approved agent and/or registered accredited person</w:t>
      </w:r>
      <w:r w:rsidR="00D71C59">
        <w:rPr>
          <w:lang w:val="en-GB"/>
        </w:rPr>
        <w:t xml:space="preserve"> </w:t>
      </w:r>
      <w:r w:rsidR="000A5409">
        <w:rPr>
          <w:lang w:val="en-GB"/>
        </w:rPr>
        <w:t>in accordance with Regulation 12(1) of LN 288/2015</w:t>
      </w:r>
      <w:r w:rsidR="00594C82">
        <w:rPr>
          <w:lang w:val="en-GB"/>
        </w:rPr>
        <w:t>)</w:t>
      </w:r>
      <w:r>
        <w:rPr>
          <w:lang w:val="en-GB"/>
        </w:rPr>
        <w:t xml:space="preserve"> must:</w:t>
      </w:r>
    </w:p>
    <w:p w14:paraId="38FD8303" w14:textId="77777777" w:rsidR="00E3010C" w:rsidRDefault="00E3010C" w:rsidP="00073BC0">
      <w:pPr>
        <w:pStyle w:val="MBT"/>
        <w:rPr>
          <w:lang w:val="en-GB"/>
        </w:rPr>
      </w:pPr>
    </w:p>
    <w:p w14:paraId="40CDE6F4" w14:textId="77777777" w:rsidR="00CB1D66" w:rsidRDefault="00CE2A44" w:rsidP="00CB1D66">
      <w:pPr>
        <w:pStyle w:val="MBT"/>
        <w:numPr>
          <w:ilvl w:val="0"/>
          <w:numId w:val="23"/>
        </w:numPr>
        <w:rPr>
          <w:lang w:val="en-GB"/>
        </w:rPr>
      </w:pPr>
      <w:r w:rsidRPr="004A44E6">
        <w:rPr>
          <w:b/>
          <w:lang w:val="en-GB"/>
        </w:rPr>
        <w:t>Pay the contribution</w:t>
      </w:r>
      <w:r>
        <w:rPr>
          <w:lang w:val="en-GB"/>
        </w:rPr>
        <w:t xml:space="preserve"> less the non-refundable administrative fee paid when presenting the application</w:t>
      </w:r>
      <w:r w:rsidR="00E153EF">
        <w:rPr>
          <w:lang w:val="en-GB"/>
        </w:rPr>
        <w:t>.</w:t>
      </w:r>
      <w:r>
        <w:rPr>
          <w:lang w:val="en-GB"/>
        </w:rPr>
        <w:t xml:space="preserve"> </w:t>
      </w:r>
      <w:r w:rsidR="00E153EF">
        <w:rPr>
          <w:lang w:val="en-GB"/>
        </w:rPr>
        <w:t>Regulation 2 of LN 288/2015 defines the contribution</w:t>
      </w:r>
      <w:r>
        <w:rPr>
          <w:lang w:val="en-GB"/>
        </w:rPr>
        <w:t xml:space="preserve"> </w:t>
      </w:r>
      <w:r w:rsidR="00E153EF">
        <w:rPr>
          <w:lang w:val="en-GB"/>
        </w:rPr>
        <w:t xml:space="preserve">and further details are provided in </w:t>
      </w:r>
      <w:r w:rsidR="00CB1D66">
        <w:rPr>
          <w:lang w:val="en-GB"/>
        </w:rPr>
        <w:t>point</w:t>
      </w:r>
      <w:r w:rsidR="00E153EF">
        <w:rPr>
          <w:lang w:val="en-GB"/>
        </w:rPr>
        <w:t xml:space="preserve"> 2 </w:t>
      </w:r>
      <w:r w:rsidR="00CB1D66">
        <w:rPr>
          <w:lang w:val="en-GB"/>
        </w:rPr>
        <w:t xml:space="preserve">of Section II </w:t>
      </w:r>
      <w:r w:rsidR="00E153EF">
        <w:rPr>
          <w:lang w:val="en-GB"/>
        </w:rPr>
        <w:t>below.</w:t>
      </w:r>
    </w:p>
    <w:p w14:paraId="13F0F5D7" w14:textId="77777777" w:rsidR="00CB1D66" w:rsidRDefault="00CE2A44" w:rsidP="00CB1D66">
      <w:pPr>
        <w:pStyle w:val="MBT"/>
        <w:numPr>
          <w:ilvl w:val="0"/>
          <w:numId w:val="23"/>
        </w:numPr>
        <w:rPr>
          <w:lang w:val="en-GB"/>
        </w:rPr>
      </w:pPr>
      <w:r w:rsidRPr="004A44E6">
        <w:rPr>
          <w:b/>
          <w:lang w:val="en-GB"/>
        </w:rPr>
        <w:t>Present the necessary title to a qualifying property</w:t>
      </w:r>
      <w:r w:rsidRPr="00CB1D66">
        <w:rPr>
          <w:lang w:val="en-GB"/>
        </w:rPr>
        <w:t xml:space="preserve"> (a qualifying owned property or a qualifying rented property</w:t>
      </w:r>
      <w:r w:rsidR="00E3010C" w:rsidRPr="00CB1D66">
        <w:rPr>
          <w:lang w:val="en-GB"/>
        </w:rPr>
        <w:t>)</w:t>
      </w:r>
      <w:r w:rsidRPr="00CB1D66">
        <w:rPr>
          <w:lang w:val="en-GB"/>
        </w:rPr>
        <w:t>. Regulation 2 of LN 288/2015 defines ‘qualifying owned property’</w:t>
      </w:r>
      <w:r w:rsidR="00E3010C" w:rsidRPr="00CB1D66">
        <w:rPr>
          <w:lang w:val="en-GB"/>
        </w:rPr>
        <w:t xml:space="preserve"> </w:t>
      </w:r>
      <w:r w:rsidR="00E153EF" w:rsidRPr="00CB1D66">
        <w:rPr>
          <w:lang w:val="en-GB"/>
        </w:rPr>
        <w:t>a</w:t>
      </w:r>
      <w:r w:rsidR="00E3010C" w:rsidRPr="00CB1D66">
        <w:rPr>
          <w:lang w:val="en-GB"/>
        </w:rPr>
        <w:t xml:space="preserve">nd ‘qualifying rented property’ </w:t>
      </w:r>
      <w:r w:rsidR="00E153EF" w:rsidRPr="00CB1D66">
        <w:rPr>
          <w:lang w:val="en-GB"/>
        </w:rPr>
        <w:t xml:space="preserve">and further details are provided in </w:t>
      </w:r>
      <w:r w:rsidR="00CB1D66">
        <w:rPr>
          <w:lang w:val="en-GB"/>
        </w:rPr>
        <w:t xml:space="preserve">point 2 of Section II </w:t>
      </w:r>
      <w:r w:rsidR="00E153EF" w:rsidRPr="00CB1D66">
        <w:rPr>
          <w:lang w:val="en-GB"/>
        </w:rPr>
        <w:t>below.</w:t>
      </w:r>
    </w:p>
    <w:p w14:paraId="208ABBFE" w14:textId="77777777" w:rsidR="00CB1D66" w:rsidRDefault="00CE2A44" w:rsidP="00CB1D66">
      <w:pPr>
        <w:pStyle w:val="MBT"/>
        <w:numPr>
          <w:ilvl w:val="0"/>
          <w:numId w:val="23"/>
        </w:numPr>
        <w:rPr>
          <w:lang w:val="en-GB"/>
        </w:rPr>
      </w:pPr>
      <w:r w:rsidRPr="004A44E6">
        <w:rPr>
          <w:b/>
          <w:lang w:val="en-GB"/>
        </w:rPr>
        <w:t>Present a certificate to a qualifying investment</w:t>
      </w:r>
      <w:r w:rsidRPr="00CB1D66">
        <w:rPr>
          <w:lang w:val="en-GB"/>
        </w:rPr>
        <w:t>. Regulation 2 defines ‘qualifying investment</w:t>
      </w:r>
      <w:r w:rsidR="00E3010C" w:rsidRPr="00CB1D66">
        <w:rPr>
          <w:lang w:val="en-GB"/>
        </w:rPr>
        <w:t>’</w:t>
      </w:r>
      <w:r w:rsidRPr="00CB1D66">
        <w:rPr>
          <w:lang w:val="en-GB"/>
        </w:rPr>
        <w:t xml:space="preserve"> as</w:t>
      </w:r>
      <w:r w:rsidR="00E3010C" w:rsidRPr="00CB1D66">
        <w:rPr>
          <w:lang w:val="en-GB"/>
        </w:rPr>
        <w:t xml:space="preserve"> </w:t>
      </w:r>
      <w:r w:rsidR="00E153EF" w:rsidRPr="00CB1D66">
        <w:rPr>
          <w:lang w:val="en-GB"/>
        </w:rPr>
        <w:t xml:space="preserve">explained in </w:t>
      </w:r>
      <w:r w:rsidR="00CB1D66" w:rsidRPr="00CB1D66">
        <w:rPr>
          <w:lang w:val="en-GB"/>
        </w:rPr>
        <w:t xml:space="preserve">point 2 of Section II </w:t>
      </w:r>
      <w:r w:rsidR="00E153EF" w:rsidRPr="00CB1D66">
        <w:rPr>
          <w:lang w:val="en-GB"/>
        </w:rPr>
        <w:t>below</w:t>
      </w:r>
      <w:r w:rsidRPr="00CB1D66">
        <w:rPr>
          <w:lang w:val="en-GB"/>
        </w:rPr>
        <w:t>.</w:t>
      </w:r>
    </w:p>
    <w:p w14:paraId="2D57D77C" w14:textId="485AE9CF" w:rsidR="00CE2A44" w:rsidRPr="00CB1D66" w:rsidRDefault="00CE2A44" w:rsidP="00CB1D66">
      <w:pPr>
        <w:pStyle w:val="MBT"/>
        <w:numPr>
          <w:ilvl w:val="0"/>
          <w:numId w:val="23"/>
        </w:numPr>
        <w:rPr>
          <w:lang w:val="en-GB"/>
        </w:rPr>
      </w:pPr>
      <w:r w:rsidRPr="004A44E6">
        <w:rPr>
          <w:b/>
          <w:lang w:val="en-GB"/>
        </w:rPr>
        <w:t>Present any other document as may be required</w:t>
      </w:r>
      <w:r w:rsidRPr="00CB1D66">
        <w:rPr>
          <w:lang w:val="en-GB"/>
        </w:rPr>
        <w:t xml:space="preserve"> from time to time by notice issued by the MRVA</w:t>
      </w:r>
      <w:r w:rsidR="00F975EE">
        <w:rPr>
          <w:lang w:val="en-GB"/>
        </w:rPr>
        <w:t>.</w:t>
      </w:r>
      <w:r w:rsidR="00AB1618">
        <w:rPr>
          <w:rStyle w:val="FootnoteReference"/>
          <w:lang w:val="en-GB"/>
        </w:rPr>
        <w:footnoteReference w:id="47"/>
      </w:r>
    </w:p>
    <w:p w14:paraId="5C956DE5" w14:textId="6E5A895B" w:rsidR="00E153EF" w:rsidRDefault="00E153EF" w:rsidP="00E153EF">
      <w:pPr>
        <w:pStyle w:val="MBT"/>
        <w:rPr>
          <w:lang w:val="en-GB"/>
        </w:rPr>
      </w:pPr>
    </w:p>
    <w:p w14:paraId="22546737" w14:textId="17839235" w:rsidR="000376C1" w:rsidRDefault="000376C1" w:rsidP="00E153EF">
      <w:pPr>
        <w:pStyle w:val="MBT"/>
        <w:rPr>
          <w:lang w:val="en-GB"/>
        </w:rPr>
      </w:pPr>
      <w:r>
        <w:rPr>
          <w:lang w:val="en-GB"/>
        </w:rPr>
        <w:t>The application process takes five to six months.</w:t>
      </w:r>
      <w:r>
        <w:rPr>
          <w:rStyle w:val="FootnoteReference"/>
          <w:lang w:val="en-GB"/>
        </w:rPr>
        <w:footnoteReference w:id="48"/>
      </w:r>
    </w:p>
    <w:p w14:paraId="7008AA8B" w14:textId="77777777" w:rsidR="000376C1" w:rsidRDefault="000376C1" w:rsidP="00E153EF">
      <w:pPr>
        <w:pStyle w:val="MBT"/>
        <w:rPr>
          <w:lang w:val="en-GB"/>
        </w:rPr>
      </w:pPr>
    </w:p>
    <w:p w14:paraId="6BA5C4C7" w14:textId="360E4DF1" w:rsidR="00E153EF" w:rsidRDefault="00E153EF" w:rsidP="00E153EF">
      <w:pPr>
        <w:pStyle w:val="MBT"/>
        <w:rPr>
          <w:lang w:val="en-GB"/>
        </w:rPr>
      </w:pPr>
      <w:r>
        <w:rPr>
          <w:lang w:val="en-GB"/>
        </w:rPr>
        <w:t xml:space="preserve">A </w:t>
      </w:r>
      <w:r w:rsidRPr="00AB1618">
        <w:rPr>
          <w:b/>
          <w:lang w:val="en-GB"/>
        </w:rPr>
        <w:t>certificate will not be issued</w:t>
      </w:r>
      <w:r>
        <w:rPr>
          <w:lang w:val="en-GB"/>
        </w:rPr>
        <w:t xml:space="preserve"> to the main applicant or any of his/her dependants even if the MRVA issued an approval in principle</w:t>
      </w:r>
      <w:r w:rsidR="00AB1618">
        <w:rPr>
          <w:lang w:val="en-GB"/>
        </w:rPr>
        <w:t>, unless the above</w:t>
      </w:r>
      <w:r>
        <w:rPr>
          <w:lang w:val="en-GB"/>
        </w:rPr>
        <w:t xml:space="preserve"> conditions </w:t>
      </w:r>
      <w:r w:rsidR="00AB1618">
        <w:rPr>
          <w:lang w:val="en-GB"/>
        </w:rPr>
        <w:t>are</w:t>
      </w:r>
      <w:r>
        <w:rPr>
          <w:lang w:val="en-GB"/>
        </w:rPr>
        <w:t xml:space="preserve"> fulfilled to </w:t>
      </w:r>
      <w:r w:rsidR="00CB1D66">
        <w:rPr>
          <w:lang w:val="en-GB"/>
        </w:rPr>
        <w:t>MRVA’s</w:t>
      </w:r>
      <w:r>
        <w:rPr>
          <w:lang w:val="en-GB"/>
        </w:rPr>
        <w:t xml:space="preserve"> ‘full satisfaction’</w:t>
      </w:r>
      <w:r w:rsidR="00F975EE">
        <w:rPr>
          <w:lang w:val="en-GB"/>
        </w:rPr>
        <w:t>.</w:t>
      </w:r>
      <w:r w:rsidR="00AB1618">
        <w:rPr>
          <w:rStyle w:val="FootnoteReference"/>
          <w:lang w:val="en-GB"/>
        </w:rPr>
        <w:footnoteReference w:id="49"/>
      </w:r>
    </w:p>
    <w:p w14:paraId="02A4E282" w14:textId="77777777" w:rsidR="00547E3F" w:rsidRDefault="00547E3F" w:rsidP="00204BA5">
      <w:pPr>
        <w:pStyle w:val="MBT"/>
        <w:rPr>
          <w:lang w:val="en-GB"/>
        </w:rPr>
      </w:pPr>
    </w:p>
    <w:p w14:paraId="05A732E6" w14:textId="30644A70" w:rsidR="004618A2" w:rsidRDefault="006D7260" w:rsidP="00204BA5">
      <w:pPr>
        <w:pStyle w:val="MBT"/>
        <w:rPr>
          <w:lang w:val="en-GB"/>
        </w:rPr>
      </w:pPr>
      <w:r>
        <w:rPr>
          <w:lang w:val="en-GB"/>
        </w:rPr>
        <w:t xml:space="preserve">If an applicant makes a false statement or omits information requested, the </w:t>
      </w:r>
      <w:r w:rsidRPr="00824239">
        <w:rPr>
          <w:b/>
          <w:lang w:val="en-GB"/>
        </w:rPr>
        <w:t xml:space="preserve">application may be declined </w:t>
      </w:r>
      <w:r>
        <w:rPr>
          <w:lang w:val="en-GB"/>
        </w:rPr>
        <w:t>solely on that basis</w:t>
      </w:r>
      <w:r w:rsidR="00F975EE">
        <w:rPr>
          <w:lang w:val="en-GB"/>
        </w:rPr>
        <w:t>.</w:t>
      </w:r>
      <w:r>
        <w:rPr>
          <w:rStyle w:val="FootnoteReference"/>
          <w:lang w:val="en-GB"/>
        </w:rPr>
        <w:footnoteReference w:id="50"/>
      </w:r>
      <w:r w:rsidR="004B3D3C">
        <w:rPr>
          <w:lang w:val="en-GB"/>
        </w:rPr>
        <w:t xml:space="preserve"> In addition, </w:t>
      </w:r>
      <w:r w:rsidR="00824239">
        <w:rPr>
          <w:lang w:val="en-GB"/>
        </w:rPr>
        <w:t xml:space="preserve">Regulation 7 of LN 288/2015 sets out the minimum </w:t>
      </w:r>
      <w:r w:rsidR="004618A2">
        <w:rPr>
          <w:lang w:val="en-GB"/>
        </w:rPr>
        <w:t>eli</w:t>
      </w:r>
      <w:r w:rsidR="00824239">
        <w:rPr>
          <w:lang w:val="en-GB"/>
        </w:rPr>
        <w:t xml:space="preserve">gibility </w:t>
      </w:r>
      <w:r w:rsidR="00824239" w:rsidRPr="004618A2">
        <w:rPr>
          <w:lang w:val="en-GB"/>
        </w:rPr>
        <w:t xml:space="preserve">criteria as further explained in </w:t>
      </w:r>
      <w:r w:rsidR="00BC5668">
        <w:rPr>
          <w:lang w:val="en-GB"/>
        </w:rPr>
        <w:t xml:space="preserve">point 4 of </w:t>
      </w:r>
      <w:r w:rsidR="00824239" w:rsidRPr="004618A2">
        <w:rPr>
          <w:lang w:val="en-GB"/>
        </w:rPr>
        <w:t xml:space="preserve">Section </w:t>
      </w:r>
      <w:r w:rsidR="004618A2">
        <w:rPr>
          <w:lang w:val="en-GB"/>
        </w:rPr>
        <w:t>II</w:t>
      </w:r>
      <w:r w:rsidR="00BC5668">
        <w:rPr>
          <w:lang w:val="en-GB"/>
        </w:rPr>
        <w:t xml:space="preserve"> </w:t>
      </w:r>
      <w:r w:rsidR="00824239" w:rsidRPr="004618A2">
        <w:rPr>
          <w:lang w:val="en-GB"/>
        </w:rPr>
        <w:t>below</w:t>
      </w:r>
      <w:r w:rsidR="004618A2">
        <w:rPr>
          <w:lang w:val="en-GB"/>
        </w:rPr>
        <w:t>. If these criteria are not met, the application will be turned down.</w:t>
      </w:r>
    </w:p>
    <w:p w14:paraId="28EE2F26" w14:textId="77777777" w:rsidR="004618A2" w:rsidRDefault="004618A2" w:rsidP="00204BA5">
      <w:pPr>
        <w:pStyle w:val="MBT"/>
        <w:rPr>
          <w:lang w:val="en-GB"/>
        </w:rPr>
      </w:pPr>
    </w:p>
    <w:p w14:paraId="784CC192" w14:textId="06480616" w:rsidR="004B3D3C" w:rsidRDefault="004B3D3C" w:rsidP="00204BA5">
      <w:pPr>
        <w:pStyle w:val="MBT"/>
        <w:rPr>
          <w:lang w:val="en-GB"/>
        </w:rPr>
      </w:pPr>
      <w:r w:rsidRPr="004618A2">
        <w:rPr>
          <w:lang w:val="en-GB"/>
        </w:rPr>
        <w:t>Regulation 8</w:t>
      </w:r>
      <w:r w:rsidR="004618A2" w:rsidRPr="004618A2">
        <w:rPr>
          <w:lang w:val="en-GB"/>
        </w:rPr>
        <w:t>(1)</w:t>
      </w:r>
      <w:r w:rsidRPr="004618A2">
        <w:rPr>
          <w:lang w:val="en-GB"/>
        </w:rPr>
        <w:t xml:space="preserve"> </w:t>
      </w:r>
      <w:r w:rsidR="00197F2A" w:rsidRPr="004618A2">
        <w:rPr>
          <w:lang w:val="en-GB"/>
        </w:rPr>
        <w:t xml:space="preserve">of LN 288/2015 </w:t>
      </w:r>
      <w:r w:rsidRPr="004618A2">
        <w:rPr>
          <w:lang w:val="en-GB"/>
        </w:rPr>
        <w:t xml:space="preserve">sets out </w:t>
      </w:r>
      <w:r w:rsidRPr="004618A2">
        <w:rPr>
          <w:b/>
          <w:lang w:val="en-GB"/>
        </w:rPr>
        <w:t xml:space="preserve">further conditions to be </w:t>
      </w:r>
      <w:r w:rsidR="004618A2" w:rsidRPr="004618A2">
        <w:rPr>
          <w:b/>
          <w:lang w:val="en-GB"/>
        </w:rPr>
        <w:t xml:space="preserve">proved </w:t>
      </w:r>
      <w:r w:rsidR="00CB1D66">
        <w:rPr>
          <w:lang w:val="en-GB"/>
        </w:rPr>
        <w:t xml:space="preserve">to MRVA’s </w:t>
      </w:r>
      <w:r w:rsidR="004618A2" w:rsidRPr="004618A2">
        <w:rPr>
          <w:lang w:val="en-GB"/>
        </w:rPr>
        <w:t xml:space="preserve">satisfaction </w:t>
      </w:r>
      <w:r w:rsidR="00197F2A" w:rsidRPr="004618A2">
        <w:rPr>
          <w:lang w:val="en-GB"/>
        </w:rPr>
        <w:t>by beneficiaries from the date on which the MRVA determines</w:t>
      </w:r>
      <w:r w:rsidR="00CB1D66">
        <w:rPr>
          <w:lang w:val="en-GB"/>
        </w:rPr>
        <w:t xml:space="preserve"> in writing that they are</w:t>
      </w:r>
      <w:r w:rsidR="00197F2A" w:rsidRPr="004618A2">
        <w:rPr>
          <w:lang w:val="en-GB"/>
        </w:rPr>
        <w:t xml:space="preserve"> issued a residence certificate</w:t>
      </w:r>
      <w:r w:rsidR="004618A2" w:rsidRPr="004618A2">
        <w:rPr>
          <w:lang w:val="en-GB"/>
        </w:rPr>
        <w:t xml:space="preserve"> and </w:t>
      </w:r>
      <w:r w:rsidR="004618A2" w:rsidRPr="00745CB1">
        <w:rPr>
          <w:b/>
          <w:lang w:val="en-GB"/>
        </w:rPr>
        <w:t>for the entire duration and persistence of the certificate</w:t>
      </w:r>
      <w:r w:rsidR="004618A2" w:rsidRPr="004618A2">
        <w:rPr>
          <w:lang w:val="en-GB"/>
        </w:rPr>
        <w:t xml:space="preserve">. </w:t>
      </w:r>
      <w:r w:rsidRPr="004618A2">
        <w:rPr>
          <w:lang w:val="en-GB"/>
        </w:rPr>
        <w:t xml:space="preserve"> </w:t>
      </w:r>
      <w:r w:rsidR="00CB1D66" w:rsidRPr="004A44E6">
        <w:rPr>
          <w:b/>
          <w:lang w:val="en-GB"/>
        </w:rPr>
        <w:t>Beneficiaries</w:t>
      </w:r>
      <w:r w:rsidR="004618A2" w:rsidRPr="004A44E6">
        <w:rPr>
          <w:b/>
          <w:lang w:val="en-GB"/>
        </w:rPr>
        <w:t xml:space="preserve"> must prove that</w:t>
      </w:r>
      <w:r w:rsidR="00CB1D66" w:rsidRPr="004A44E6">
        <w:rPr>
          <w:b/>
          <w:lang w:val="en-GB"/>
        </w:rPr>
        <w:t xml:space="preserve"> they</w:t>
      </w:r>
      <w:r w:rsidR="004618A2" w:rsidRPr="004618A2">
        <w:rPr>
          <w:lang w:val="en-GB"/>
        </w:rPr>
        <w:t>:</w:t>
      </w:r>
    </w:p>
    <w:p w14:paraId="303A0822" w14:textId="77777777" w:rsidR="002155B8" w:rsidRPr="004618A2" w:rsidRDefault="002155B8" w:rsidP="00204BA5">
      <w:pPr>
        <w:pStyle w:val="MBT"/>
        <w:rPr>
          <w:lang w:val="en-GB"/>
        </w:rPr>
      </w:pPr>
    </w:p>
    <w:p w14:paraId="2CE0A1E0" w14:textId="62F9EF38" w:rsidR="004618A2" w:rsidRPr="004618A2" w:rsidRDefault="00CB1D66" w:rsidP="00745CB1">
      <w:pPr>
        <w:pStyle w:val="MBT"/>
        <w:numPr>
          <w:ilvl w:val="0"/>
          <w:numId w:val="18"/>
        </w:numPr>
        <w:rPr>
          <w:lang w:val="en-GB"/>
        </w:rPr>
      </w:pPr>
      <w:r>
        <w:rPr>
          <w:lang w:val="en-GB"/>
        </w:rPr>
        <w:t xml:space="preserve">Are </w:t>
      </w:r>
      <w:r w:rsidR="004618A2" w:rsidRPr="004618A2">
        <w:rPr>
          <w:lang w:val="en-GB"/>
        </w:rPr>
        <w:t>third country national</w:t>
      </w:r>
      <w:r>
        <w:rPr>
          <w:lang w:val="en-GB"/>
        </w:rPr>
        <w:t xml:space="preserve">s and are not </w:t>
      </w:r>
      <w:r w:rsidR="004618A2" w:rsidRPr="004618A2">
        <w:rPr>
          <w:lang w:val="en-GB"/>
        </w:rPr>
        <w:t>Maltese, EEA or Swiss national</w:t>
      </w:r>
      <w:r>
        <w:rPr>
          <w:lang w:val="en-GB"/>
        </w:rPr>
        <w:t>s</w:t>
      </w:r>
      <w:r w:rsidR="004618A2" w:rsidRPr="004618A2">
        <w:rPr>
          <w:lang w:val="en-GB"/>
        </w:rPr>
        <w:t>;</w:t>
      </w:r>
    </w:p>
    <w:p w14:paraId="1E35D6C8" w14:textId="5589E19C" w:rsidR="004618A2" w:rsidRPr="004618A2" w:rsidRDefault="00CB1D66" w:rsidP="00745CB1">
      <w:pPr>
        <w:pStyle w:val="MBT"/>
        <w:numPr>
          <w:ilvl w:val="0"/>
          <w:numId w:val="18"/>
        </w:numPr>
        <w:rPr>
          <w:lang w:val="en-GB"/>
        </w:rPr>
      </w:pPr>
      <w:r>
        <w:rPr>
          <w:lang w:val="en-GB"/>
        </w:rPr>
        <w:t>Do</w:t>
      </w:r>
      <w:r w:rsidR="004618A2" w:rsidRPr="004618A2">
        <w:rPr>
          <w:lang w:val="en-GB"/>
        </w:rPr>
        <w:t xml:space="preserve"> not benefit from the Residence Scheme Regulations, the High Net Worth Individuals – EU/EEA/Swiss Nationals Rules, the </w:t>
      </w:r>
      <w:r w:rsidR="00290ED0">
        <w:rPr>
          <w:lang w:val="en-GB"/>
        </w:rPr>
        <w:t xml:space="preserve">Malta Retirement Programme Rules, the </w:t>
      </w:r>
      <w:r w:rsidR="004618A2" w:rsidRPr="004618A2">
        <w:rPr>
          <w:lang w:val="en-GB"/>
        </w:rPr>
        <w:t>Residence Programme Rules, the Qualifying Employment in Innovation and Creativity Rules or the Highly Qualified Persons Rules;</w:t>
      </w:r>
      <w:r w:rsidR="00102253">
        <w:rPr>
          <w:rStyle w:val="FootnoteReference"/>
          <w:lang w:val="en-GB"/>
        </w:rPr>
        <w:footnoteReference w:id="51"/>
      </w:r>
    </w:p>
    <w:p w14:paraId="2A7D0785" w14:textId="48EE32E2" w:rsidR="004618A2" w:rsidRPr="004618A2" w:rsidRDefault="00CB1D66" w:rsidP="00745CB1">
      <w:pPr>
        <w:pStyle w:val="MBT"/>
        <w:numPr>
          <w:ilvl w:val="0"/>
          <w:numId w:val="18"/>
        </w:numPr>
        <w:rPr>
          <w:lang w:val="en-GB"/>
        </w:rPr>
      </w:pPr>
      <w:r>
        <w:rPr>
          <w:lang w:val="en-GB"/>
        </w:rPr>
        <w:t>Hold</w:t>
      </w:r>
      <w:r w:rsidR="004618A2" w:rsidRPr="004618A2">
        <w:rPr>
          <w:lang w:val="en-GB"/>
        </w:rPr>
        <w:t xml:space="preserve"> qualifying property and a qualifying investment for a minimum period of five years from the date of issuance of the certificate;</w:t>
      </w:r>
    </w:p>
    <w:p w14:paraId="13FCAF51" w14:textId="53E9A7E7" w:rsidR="004618A2" w:rsidRPr="004618A2" w:rsidRDefault="002155B8" w:rsidP="00745CB1">
      <w:pPr>
        <w:pStyle w:val="MBT"/>
        <w:numPr>
          <w:ilvl w:val="0"/>
          <w:numId w:val="18"/>
        </w:numPr>
        <w:rPr>
          <w:lang w:val="en-GB"/>
        </w:rPr>
      </w:pPr>
      <w:r>
        <w:rPr>
          <w:lang w:val="en-GB"/>
        </w:rPr>
        <w:t>Receive</w:t>
      </w:r>
      <w:r w:rsidR="004618A2" w:rsidRPr="004618A2">
        <w:rPr>
          <w:lang w:val="en-GB"/>
        </w:rPr>
        <w:t xml:space="preserve"> stable and regular resources that are sufficient to maintain </w:t>
      </w:r>
      <w:r>
        <w:rPr>
          <w:lang w:val="en-GB"/>
        </w:rPr>
        <w:t>themselves and their</w:t>
      </w:r>
      <w:r w:rsidR="004618A2" w:rsidRPr="004618A2">
        <w:rPr>
          <w:lang w:val="en-GB"/>
        </w:rPr>
        <w:t xml:space="preserve"> dep</w:t>
      </w:r>
      <w:r>
        <w:rPr>
          <w:lang w:val="en-GB"/>
        </w:rPr>
        <w:t xml:space="preserve">endants without recourse to Malta’s </w:t>
      </w:r>
      <w:r w:rsidR="004618A2" w:rsidRPr="004618A2">
        <w:rPr>
          <w:lang w:val="en-GB"/>
        </w:rPr>
        <w:t>social assistance system;</w:t>
      </w:r>
    </w:p>
    <w:p w14:paraId="5FDE8001" w14:textId="4140885A" w:rsidR="004618A2" w:rsidRPr="004618A2" w:rsidRDefault="002155B8" w:rsidP="00745CB1">
      <w:pPr>
        <w:pStyle w:val="MBT"/>
        <w:numPr>
          <w:ilvl w:val="0"/>
          <w:numId w:val="18"/>
        </w:numPr>
        <w:rPr>
          <w:lang w:val="en-GB"/>
        </w:rPr>
      </w:pPr>
      <w:r>
        <w:rPr>
          <w:lang w:val="en-GB"/>
        </w:rPr>
        <w:t>Have</w:t>
      </w:r>
      <w:r w:rsidR="004618A2" w:rsidRPr="004618A2">
        <w:rPr>
          <w:lang w:val="en-GB"/>
        </w:rPr>
        <w:t xml:space="preserve"> a valid travel document</w:t>
      </w:r>
      <w:r>
        <w:rPr>
          <w:lang w:val="en-GB"/>
        </w:rPr>
        <w:t xml:space="preserve"> for themselves and for their dependants</w:t>
      </w:r>
      <w:r w:rsidR="004618A2" w:rsidRPr="004618A2">
        <w:rPr>
          <w:lang w:val="en-GB"/>
        </w:rPr>
        <w:t>;</w:t>
      </w:r>
    </w:p>
    <w:p w14:paraId="692243FD" w14:textId="6D46CBD2" w:rsidR="004618A2" w:rsidRPr="004618A2" w:rsidRDefault="002155B8" w:rsidP="00745CB1">
      <w:pPr>
        <w:pStyle w:val="MBT"/>
        <w:numPr>
          <w:ilvl w:val="0"/>
          <w:numId w:val="18"/>
        </w:numPr>
        <w:rPr>
          <w:lang w:val="en-GB"/>
        </w:rPr>
      </w:pPr>
      <w:r>
        <w:rPr>
          <w:lang w:val="en-GB"/>
        </w:rPr>
        <w:t xml:space="preserve">Have </w:t>
      </w:r>
      <w:r w:rsidR="004618A2" w:rsidRPr="004618A2">
        <w:rPr>
          <w:lang w:val="en-GB"/>
        </w:rPr>
        <w:t xml:space="preserve">sickness insurance in respect of all risks normally covered for Maltese nationals for </w:t>
      </w:r>
      <w:r>
        <w:rPr>
          <w:lang w:val="en-GB"/>
        </w:rPr>
        <w:t>themselves and their dependants</w:t>
      </w:r>
      <w:r w:rsidR="004618A2" w:rsidRPr="004618A2">
        <w:rPr>
          <w:lang w:val="en-GB"/>
        </w:rPr>
        <w:t xml:space="preserve">, across the whole Schengen Area and states associated with the </w:t>
      </w:r>
      <w:r>
        <w:rPr>
          <w:lang w:val="en-GB"/>
        </w:rPr>
        <w:t xml:space="preserve">EU’s </w:t>
      </w:r>
      <w:r w:rsidR="004618A2" w:rsidRPr="004618A2">
        <w:rPr>
          <w:lang w:val="en-GB"/>
        </w:rPr>
        <w:t>Schengen activities;</w:t>
      </w:r>
    </w:p>
    <w:p w14:paraId="5D3CE324" w14:textId="09EBA588" w:rsidR="004618A2" w:rsidRPr="004618A2" w:rsidRDefault="002155B8" w:rsidP="00745CB1">
      <w:pPr>
        <w:pStyle w:val="MBT"/>
        <w:numPr>
          <w:ilvl w:val="0"/>
          <w:numId w:val="18"/>
        </w:numPr>
        <w:rPr>
          <w:lang w:val="en-GB"/>
        </w:rPr>
      </w:pPr>
      <w:r>
        <w:rPr>
          <w:lang w:val="en-GB"/>
        </w:rPr>
        <w:t>Provide</w:t>
      </w:r>
      <w:r w:rsidR="004618A2" w:rsidRPr="004618A2">
        <w:rPr>
          <w:lang w:val="en-GB"/>
        </w:rPr>
        <w:t xml:space="preserve"> an affidavit declaring that f</w:t>
      </w:r>
      <w:r>
        <w:rPr>
          <w:lang w:val="en-GB"/>
        </w:rPr>
        <w:t>rom</w:t>
      </w:r>
      <w:r w:rsidR="004618A2" w:rsidRPr="004618A2">
        <w:rPr>
          <w:lang w:val="en-GB"/>
        </w:rPr>
        <w:t xml:space="preserve"> the date of application onwards </w:t>
      </w:r>
      <w:r>
        <w:rPr>
          <w:lang w:val="en-GB"/>
        </w:rPr>
        <w:t>they have</w:t>
      </w:r>
      <w:r w:rsidR="004618A2" w:rsidRPr="004618A2">
        <w:rPr>
          <w:lang w:val="en-GB"/>
        </w:rPr>
        <w:t xml:space="preserve"> either an annual income of not less than EUR 100,000 arising outside Malta or a capital of not less than EUR 500,000.</w:t>
      </w:r>
    </w:p>
    <w:p w14:paraId="1E558273" w14:textId="77777777" w:rsidR="004618A2" w:rsidRPr="00824239" w:rsidRDefault="004618A2" w:rsidP="00204BA5">
      <w:pPr>
        <w:pStyle w:val="MBT"/>
        <w:rPr>
          <w:highlight w:val="yellow"/>
          <w:lang w:val="en-GB"/>
        </w:rPr>
      </w:pPr>
    </w:p>
    <w:p w14:paraId="5861EA8F" w14:textId="74DBB273" w:rsidR="00E34EC0" w:rsidRDefault="004B3D3C" w:rsidP="00204BA5">
      <w:pPr>
        <w:pStyle w:val="MBT"/>
        <w:rPr>
          <w:lang w:val="en-GB"/>
        </w:rPr>
      </w:pPr>
      <w:r w:rsidRPr="009A3369">
        <w:rPr>
          <w:lang w:val="en-GB"/>
        </w:rPr>
        <w:t xml:space="preserve">LN 288/2015 also provides for the </w:t>
      </w:r>
      <w:r w:rsidRPr="009A3369">
        <w:rPr>
          <w:b/>
          <w:lang w:val="en-GB"/>
        </w:rPr>
        <w:t>cessation of the certificate</w:t>
      </w:r>
      <w:r w:rsidRPr="009A3369">
        <w:rPr>
          <w:lang w:val="en-GB"/>
        </w:rPr>
        <w:t xml:space="preserve"> in the circumstances stipulated by Regulation 9.</w:t>
      </w:r>
      <w:r w:rsidR="00E34EC0">
        <w:rPr>
          <w:lang w:val="en-GB"/>
        </w:rPr>
        <w:t xml:space="preserve"> With effect from the date of issuing of the certificate, </w:t>
      </w:r>
      <w:r w:rsidR="00E34EC0" w:rsidRPr="004A44E6">
        <w:rPr>
          <w:b/>
          <w:lang w:val="en-GB"/>
        </w:rPr>
        <w:t>a beneficiary will cease to benefit from a certificate if s/he</w:t>
      </w:r>
      <w:r w:rsidR="00E34EC0">
        <w:rPr>
          <w:lang w:val="en-GB"/>
        </w:rPr>
        <w:t>:</w:t>
      </w:r>
    </w:p>
    <w:p w14:paraId="47A9FAB0" w14:textId="77777777" w:rsidR="002155B8" w:rsidRDefault="002155B8" w:rsidP="00204BA5">
      <w:pPr>
        <w:pStyle w:val="MBT"/>
        <w:rPr>
          <w:lang w:val="en-GB"/>
        </w:rPr>
      </w:pPr>
    </w:p>
    <w:p w14:paraId="3C0A5E98" w14:textId="64B4860B" w:rsidR="00E34EC0" w:rsidRDefault="00745CB1" w:rsidP="00745CB1">
      <w:pPr>
        <w:pStyle w:val="MBT"/>
        <w:numPr>
          <w:ilvl w:val="0"/>
          <w:numId w:val="19"/>
        </w:numPr>
        <w:rPr>
          <w:lang w:val="en-GB"/>
        </w:rPr>
      </w:pPr>
      <w:r>
        <w:rPr>
          <w:lang w:val="en-GB"/>
        </w:rPr>
        <w:t>Becomes</w:t>
      </w:r>
      <w:r w:rsidR="00E34EC0">
        <w:rPr>
          <w:lang w:val="en-GB"/>
        </w:rPr>
        <w:t xml:space="preserve"> a Maltese, EEA or Swiss national;</w:t>
      </w:r>
    </w:p>
    <w:p w14:paraId="15B7EA5D" w14:textId="13A2F47A" w:rsidR="00E34EC0" w:rsidRDefault="00745CB1" w:rsidP="00745CB1">
      <w:pPr>
        <w:pStyle w:val="MBT"/>
        <w:numPr>
          <w:ilvl w:val="0"/>
          <w:numId w:val="19"/>
        </w:numPr>
        <w:rPr>
          <w:lang w:val="en-GB"/>
        </w:rPr>
      </w:pPr>
      <w:r>
        <w:rPr>
          <w:lang w:val="en-GB"/>
        </w:rPr>
        <w:t>At</w:t>
      </w:r>
      <w:r w:rsidR="00E34EC0">
        <w:rPr>
          <w:lang w:val="en-GB"/>
        </w:rPr>
        <w:t xml:space="preserve"> any time after </w:t>
      </w:r>
      <w:r>
        <w:rPr>
          <w:lang w:val="en-GB"/>
        </w:rPr>
        <w:t>the date on which the MRVA determines in writing that a beneficiary is</w:t>
      </w:r>
      <w:r w:rsidR="002155B8">
        <w:rPr>
          <w:lang w:val="en-GB"/>
        </w:rPr>
        <w:t xml:space="preserve"> issued a residence certificate,</w:t>
      </w:r>
      <w:r w:rsidR="00E34EC0">
        <w:rPr>
          <w:lang w:val="en-GB"/>
        </w:rPr>
        <w:t xml:space="preserve"> does not satisfy the conditions set out in Regulation 8 or no longer remains eligible in terms or Regulation 7 or does not fulfil any commitment contemplated in LN 288/2015, in particular a commitment referred to in Regulation 6</w:t>
      </w:r>
      <w:r>
        <w:rPr>
          <w:lang w:val="en-GB"/>
        </w:rPr>
        <w:t xml:space="preserve"> (qualifications and general requirements);</w:t>
      </w:r>
    </w:p>
    <w:p w14:paraId="4ED77619" w14:textId="3759A657" w:rsidR="00E34EC0" w:rsidRDefault="00745CB1" w:rsidP="00745CB1">
      <w:pPr>
        <w:pStyle w:val="MBT"/>
        <w:numPr>
          <w:ilvl w:val="0"/>
          <w:numId w:val="19"/>
        </w:numPr>
        <w:rPr>
          <w:lang w:val="en-GB"/>
        </w:rPr>
      </w:pPr>
      <w:r>
        <w:rPr>
          <w:lang w:val="en-GB"/>
        </w:rPr>
        <w:t>The</w:t>
      </w:r>
      <w:r w:rsidR="00E34EC0">
        <w:rPr>
          <w:lang w:val="en-GB"/>
        </w:rPr>
        <w:t xml:space="preserve"> stay is not in the public interes</w:t>
      </w:r>
      <w:r w:rsidR="00BC5668">
        <w:rPr>
          <w:lang w:val="en-GB"/>
        </w:rPr>
        <w:t>t (this includes</w:t>
      </w:r>
      <w:r w:rsidR="00BC5668" w:rsidRPr="00BC5668">
        <w:rPr>
          <w:lang w:val="en-GB"/>
        </w:rPr>
        <w:t xml:space="preserve"> the interests of public safety, the protection of public order, national security, territorial integrity, public health or morals</w:t>
      </w:r>
      <w:r w:rsidR="001427AF">
        <w:rPr>
          <w:rStyle w:val="FootnoteReference"/>
          <w:lang w:val="en-GB"/>
        </w:rPr>
        <w:footnoteReference w:id="52"/>
      </w:r>
      <w:r w:rsidR="00BC5668">
        <w:rPr>
          <w:lang w:val="en-GB"/>
        </w:rPr>
        <w:t>)</w:t>
      </w:r>
      <w:r w:rsidR="00BC5668" w:rsidRPr="00BC5668">
        <w:rPr>
          <w:lang w:val="en-GB"/>
        </w:rPr>
        <w:t>.</w:t>
      </w:r>
    </w:p>
    <w:p w14:paraId="65936366" w14:textId="77777777" w:rsidR="004B3D3C" w:rsidRDefault="004B3D3C" w:rsidP="00204BA5">
      <w:pPr>
        <w:pStyle w:val="MBT"/>
        <w:rPr>
          <w:lang w:val="en-GB"/>
        </w:rPr>
      </w:pPr>
    </w:p>
    <w:p w14:paraId="3621D8C0" w14:textId="27F296B0" w:rsidR="00B45D8D" w:rsidRPr="00B45D8D" w:rsidRDefault="00B45D8D" w:rsidP="00B45D8D">
      <w:pPr>
        <w:pStyle w:val="MBT"/>
      </w:pPr>
      <w:r>
        <w:rPr>
          <w:lang w:val="en-GB"/>
        </w:rPr>
        <w:t xml:space="preserve">Individuals who cease </w:t>
      </w:r>
      <w:r w:rsidRPr="00B45D8D">
        <w:t>to benefit from a certificate</w:t>
      </w:r>
      <w:r>
        <w:t xml:space="preserve"> </w:t>
      </w:r>
      <w:r w:rsidRPr="00B45D8D">
        <w:t>for any of the</w:t>
      </w:r>
      <w:r>
        <w:t>se</w:t>
      </w:r>
      <w:r w:rsidRPr="00B45D8D">
        <w:t xml:space="preserve"> reasons</w:t>
      </w:r>
      <w:r>
        <w:t xml:space="preserve"> must </w:t>
      </w:r>
      <w:r w:rsidRPr="004C7C15">
        <w:t>notify the MRVA</w:t>
      </w:r>
      <w:r w:rsidRPr="00C83D3F">
        <w:rPr>
          <w:b/>
        </w:rPr>
        <w:t xml:space="preserve"> </w:t>
      </w:r>
      <w:r w:rsidR="002155B8">
        <w:t>within</w:t>
      </w:r>
      <w:r w:rsidRPr="00B45D8D">
        <w:t xml:space="preserve"> four weeks from the date when </w:t>
      </w:r>
      <w:r w:rsidR="002155B8">
        <w:t>they become</w:t>
      </w:r>
      <w:r w:rsidRPr="00B45D8D">
        <w:t xml:space="preserve"> aware of</w:t>
      </w:r>
      <w:r>
        <w:t xml:space="preserve"> </w:t>
      </w:r>
      <w:r w:rsidRPr="00B45D8D">
        <w:t>such event</w:t>
      </w:r>
      <w:r>
        <w:t>. Where the notification is no</w:t>
      </w:r>
      <w:r w:rsidR="00745CB1">
        <w:t>t made within the time limit an</w:t>
      </w:r>
      <w:r>
        <w:t xml:space="preserve"> </w:t>
      </w:r>
      <w:r w:rsidRPr="00B45D8D">
        <w:t xml:space="preserve">administrative penalty of </w:t>
      </w:r>
      <w:r>
        <w:t>EUR 15,000 will apply</w:t>
      </w:r>
      <w:r w:rsidR="00E461F3">
        <w:t>.</w:t>
      </w:r>
      <w:r>
        <w:rPr>
          <w:rStyle w:val="FootnoteReference"/>
        </w:rPr>
        <w:footnoteReference w:id="53"/>
      </w:r>
      <w:r>
        <w:t xml:space="preserve"> The competent Ministers</w:t>
      </w:r>
      <w:r>
        <w:rPr>
          <w:rStyle w:val="FootnoteReference"/>
        </w:rPr>
        <w:footnoteReference w:id="54"/>
      </w:r>
      <w:r>
        <w:t xml:space="preserve"> can </w:t>
      </w:r>
      <w:r w:rsidR="00745CB1">
        <w:t xml:space="preserve">however </w:t>
      </w:r>
      <w:r>
        <w:t>condone failure to satisfy</w:t>
      </w:r>
      <w:r w:rsidR="000C3553">
        <w:t xml:space="preserve"> the conditions listed above if </w:t>
      </w:r>
      <w:r>
        <w:t xml:space="preserve">the </w:t>
      </w:r>
      <w:r w:rsidR="000C3553" w:rsidRPr="00B45D8D">
        <w:t>failure was due to</w:t>
      </w:r>
      <w:r w:rsidR="000C3553">
        <w:t xml:space="preserve"> </w:t>
      </w:r>
      <w:r w:rsidR="000C3553">
        <w:lastRenderedPageBreak/>
        <w:t>unforeseen</w:t>
      </w:r>
      <w:r w:rsidRPr="00B45D8D">
        <w:t xml:space="preserve"> circumstances</w:t>
      </w:r>
      <w:r>
        <w:t xml:space="preserve"> </w:t>
      </w:r>
      <w:r w:rsidRPr="00B45D8D">
        <w:t xml:space="preserve">beyond the </w:t>
      </w:r>
      <w:r w:rsidR="000C3553">
        <w:t xml:space="preserve">individual’s control, </w:t>
      </w:r>
      <w:r>
        <w:t>the</w:t>
      </w:r>
      <w:r w:rsidRPr="00B45D8D">
        <w:t xml:space="preserve"> individual notifie</w:t>
      </w:r>
      <w:r w:rsidR="000C3553">
        <w:t>s the Ministers of such failure and</w:t>
      </w:r>
      <w:r>
        <w:t xml:space="preserve"> </w:t>
      </w:r>
      <w:r w:rsidR="000C3553">
        <w:t>exercised</w:t>
      </w:r>
      <w:r w:rsidRPr="00B45D8D">
        <w:t xml:space="preserve"> his</w:t>
      </w:r>
      <w:r w:rsidR="000C3553">
        <w:t>/her best efforts</w:t>
      </w:r>
      <w:r w:rsidRPr="00B45D8D">
        <w:t xml:space="preserve"> to</w:t>
      </w:r>
      <w:r w:rsidR="000C3553">
        <w:t xml:space="preserve"> </w:t>
      </w:r>
      <w:r w:rsidRPr="00B45D8D">
        <w:t>remedy the failure</w:t>
      </w:r>
      <w:r w:rsidR="002D1370">
        <w:t>.</w:t>
      </w:r>
      <w:r>
        <w:rPr>
          <w:rStyle w:val="FootnoteReference"/>
        </w:rPr>
        <w:footnoteReference w:id="55"/>
      </w:r>
      <w:r w:rsidR="00A15182">
        <w:t xml:space="preserve"> This means that in the aforementioned circumstances, the competent Ministers can decide to </w:t>
      </w:r>
      <w:r w:rsidR="00522CD7">
        <w:t>depart</w:t>
      </w:r>
      <w:r w:rsidR="00A15182">
        <w:t xml:space="preserve"> from the conditions set out in the law. Details on the procedures to follow for notifying the Ministers are not stipulated in </w:t>
      </w:r>
      <w:r w:rsidR="00594C82">
        <w:t xml:space="preserve">the </w:t>
      </w:r>
      <w:r w:rsidR="00A15182">
        <w:t>law nor are there specific provisions on monitoring such decisions by the Ministers.</w:t>
      </w:r>
    </w:p>
    <w:p w14:paraId="1285DB96" w14:textId="3445BC38" w:rsidR="00B45D8D" w:rsidRDefault="00B45D8D" w:rsidP="00B45D8D">
      <w:pPr>
        <w:pStyle w:val="MBT"/>
      </w:pPr>
    </w:p>
    <w:p w14:paraId="16915059" w14:textId="303F3312" w:rsidR="00B45D8D" w:rsidRDefault="00B45D8D" w:rsidP="00B45D8D">
      <w:pPr>
        <w:pStyle w:val="MBT"/>
      </w:pPr>
      <w:r>
        <w:t>An individual will also cease to benefit from a certificate if s/he notifies the MRVA of his/her intention</w:t>
      </w:r>
      <w:r w:rsidRPr="00B45D8D">
        <w:t xml:space="preserve"> not to remain a</w:t>
      </w:r>
      <w:r>
        <w:t xml:space="preserve"> </w:t>
      </w:r>
      <w:r w:rsidRPr="00B45D8D">
        <w:t>beneficiary</w:t>
      </w:r>
      <w:r w:rsidR="00E461F3">
        <w:t>.</w:t>
      </w:r>
      <w:r>
        <w:rPr>
          <w:rStyle w:val="FootnoteReference"/>
        </w:rPr>
        <w:footnoteReference w:id="56"/>
      </w:r>
    </w:p>
    <w:p w14:paraId="0396FFFA" w14:textId="77777777" w:rsidR="00E461F3" w:rsidRDefault="00E461F3" w:rsidP="00B45D8D">
      <w:pPr>
        <w:pStyle w:val="MBT"/>
      </w:pPr>
    </w:p>
    <w:p w14:paraId="6858B0BF" w14:textId="0F3D939E" w:rsidR="00E461F3" w:rsidRDefault="00E461F3" w:rsidP="00E461F3">
      <w:pPr>
        <w:pStyle w:val="MBT"/>
        <w:rPr>
          <w:lang w:val="en-GB"/>
        </w:rPr>
      </w:pPr>
      <w:r>
        <w:t xml:space="preserve">LN 288/2015 </w:t>
      </w:r>
      <w:r w:rsidRPr="00E461F3">
        <w:rPr>
          <w:b/>
        </w:rPr>
        <w:t>does not prescribe any legal remedies</w:t>
      </w:r>
      <w:r>
        <w:t xml:space="preserve"> in the case of refusal of residence. Moreover, as explained in point 1.3 below, </w:t>
      </w:r>
      <w:r>
        <w:rPr>
          <w:lang w:val="en-GB"/>
        </w:rPr>
        <w:t>the MRVA has absolute discretion. Its decisions are final and not subject to appeal.</w:t>
      </w:r>
      <w:r>
        <w:rPr>
          <w:rStyle w:val="FootnoteReference"/>
          <w:lang w:val="en-GB"/>
        </w:rPr>
        <w:footnoteReference w:id="57"/>
      </w:r>
      <w:r>
        <w:rPr>
          <w:lang w:val="en-GB"/>
        </w:rPr>
        <w:t xml:space="preserve"> </w:t>
      </w:r>
    </w:p>
    <w:p w14:paraId="4854D3F0" w14:textId="79537939" w:rsidR="0094376B" w:rsidRDefault="0094376B" w:rsidP="00E461F3">
      <w:pPr>
        <w:pStyle w:val="MBT"/>
        <w:rPr>
          <w:lang w:val="en-GB"/>
        </w:rPr>
      </w:pPr>
    </w:p>
    <w:p w14:paraId="125E7426" w14:textId="45A85948" w:rsidR="0094376B" w:rsidRDefault="0094376B" w:rsidP="00C83D3F">
      <w:pPr>
        <w:pStyle w:val="MBT"/>
        <w:numPr>
          <w:ilvl w:val="0"/>
          <w:numId w:val="32"/>
        </w:numPr>
        <w:rPr>
          <w:b/>
          <w:lang w:val="en-GB"/>
        </w:rPr>
      </w:pPr>
      <w:r w:rsidRPr="00C83D3F">
        <w:rPr>
          <w:b/>
          <w:lang w:val="en-GB"/>
        </w:rPr>
        <w:t>GRP</w:t>
      </w:r>
    </w:p>
    <w:p w14:paraId="1E9C90DB" w14:textId="45BAA358" w:rsidR="0094376B" w:rsidRDefault="0094376B" w:rsidP="0094376B">
      <w:pPr>
        <w:pStyle w:val="MBT"/>
        <w:rPr>
          <w:lang w:val="en-GB"/>
        </w:rPr>
      </w:pPr>
    </w:p>
    <w:p w14:paraId="3C1FAA4B" w14:textId="154B6CB3" w:rsidR="0094376B" w:rsidRDefault="0094376B" w:rsidP="0094376B">
      <w:pPr>
        <w:pStyle w:val="MBT"/>
        <w:rPr>
          <w:lang w:val="en-GB"/>
        </w:rPr>
      </w:pPr>
      <w:r>
        <w:rPr>
          <w:lang w:val="en-GB"/>
        </w:rPr>
        <w:t>R</w:t>
      </w:r>
      <w:r w:rsidR="00631690">
        <w:rPr>
          <w:lang w:val="en-GB"/>
        </w:rPr>
        <w:t>ule</w:t>
      </w:r>
      <w:r>
        <w:rPr>
          <w:lang w:val="en-GB"/>
        </w:rPr>
        <w:t xml:space="preserve"> 2 of LN 167/2013 defines the ‘beneficiary’ as a third-country national</w:t>
      </w:r>
      <w:r w:rsidR="00631690">
        <w:rPr>
          <w:rStyle w:val="FootnoteReference"/>
          <w:lang w:val="en-GB"/>
        </w:rPr>
        <w:footnoteReference w:id="58"/>
      </w:r>
      <w:r>
        <w:rPr>
          <w:lang w:val="en-GB"/>
        </w:rPr>
        <w:t xml:space="preserve"> who has been granted special tax status in terms of the GRP r</w:t>
      </w:r>
      <w:r w:rsidR="00631690">
        <w:rPr>
          <w:lang w:val="en-GB"/>
        </w:rPr>
        <w:t>ule</w:t>
      </w:r>
      <w:r>
        <w:rPr>
          <w:lang w:val="en-GB"/>
        </w:rPr>
        <w:t>s. In accordance with R</w:t>
      </w:r>
      <w:r w:rsidR="00631690">
        <w:rPr>
          <w:lang w:val="en-GB"/>
        </w:rPr>
        <w:t>ule</w:t>
      </w:r>
      <w:r>
        <w:rPr>
          <w:lang w:val="en-GB"/>
        </w:rPr>
        <w:t xml:space="preserve"> 3(1), </w:t>
      </w:r>
      <w:r w:rsidRPr="004A44E6">
        <w:rPr>
          <w:b/>
          <w:lang w:val="en-GB"/>
        </w:rPr>
        <w:t xml:space="preserve">individuals duly represented by </w:t>
      </w:r>
      <w:r>
        <w:rPr>
          <w:b/>
          <w:lang w:val="en-GB"/>
        </w:rPr>
        <w:t>an authorised registered mandatory</w:t>
      </w:r>
      <w:r>
        <w:rPr>
          <w:rStyle w:val="FootnoteReference"/>
          <w:lang w:val="en-GB"/>
        </w:rPr>
        <w:footnoteReference w:id="59"/>
      </w:r>
      <w:r>
        <w:rPr>
          <w:lang w:val="en-GB"/>
        </w:rPr>
        <w:t xml:space="preserve"> may apply to the Commissioner for Revenue for special tax status under the GRP </w:t>
      </w:r>
      <w:r w:rsidR="00631690">
        <w:rPr>
          <w:lang w:val="en-GB"/>
        </w:rPr>
        <w:t>rule</w:t>
      </w:r>
      <w:r>
        <w:rPr>
          <w:lang w:val="en-GB"/>
        </w:rPr>
        <w:t>s.</w:t>
      </w:r>
    </w:p>
    <w:p w14:paraId="25D4DF75" w14:textId="77777777" w:rsidR="0094376B" w:rsidRDefault="0094376B" w:rsidP="0094376B">
      <w:pPr>
        <w:pStyle w:val="MBT"/>
        <w:rPr>
          <w:lang w:val="en-GB"/>
        </w:rPr>
      </w:pPr>
    </w:p>
    <w:p w14:paraId="32ECDC8A" w14:textId="784301D2" w:rsidR="0094376B" w:rsidRDefault="0094376B" w:rsidP="0094376B">
      <w:pPr>
        <w:pStyle w:val="MBT"/>
        <w:rPr>
          <w:lang w:val="en-GB"/>
        </w:rPr>
      </w:pPr>
      <w:r>
        <w:rPr>
          <w:lang w:val="en-GB"/>
        </w:rPr>
        <w:t>R</w:t>
      </w:r>
      <w:r w:rsidR="00141EFD">
        <w:rPr>
          <w:lang w:val="en-GB"/>
        </w:rPr>
        <w:t>ule</w:t>
      </w:r>
      <w:r>
        <w:rPr>
          <w:lang w:val="en-GB"/>
        </w:rPr>
        <w:t xml:space="preserve"> 4 of LN 167/2013 sets out the </w:t>
      </w:r>
      <w:r w:rsidRPr="0014120F">
        <w:rPr>
          <w:b/>
          <w:lang w:val="en-GB"/>
        </w:rPr>
        <w:t>general requirements</w:t>
      </w:r>
      <w:r>
        <w:rPr>
          <w:lang w:val="en-GB"/>
        </w:rPr>
        <w:t xml:space="preserve"> for a person to qualify as a </w:t>
      </w:r>
      <w:r w:rsidR="00631690">
        <w:rPr>
          <w:lang w:val="en-GB"/>
        </w:rPr>
        <w:t xml:space="preserve">GRP </w:t>
      </w:r>
      <w:r>
        <w:rPr>
          <w:lang w:val="en-GB"/>
        </w:rPr>
        <w:t>beneficiary. A beneficiary is an individual who is not a long-term resident</w:t>
      </w:r>
      <w:r w:rsidR="00646057">
        <w:rPr>
          <w:rStyle w:val="FootnoteReference"/>
          <w:lang w:val="en-GB"/>
        </w:rPr>
        <w:footnoteReference w:id="60"/>
      </w:r>
      <w:r>
        <w:rPr>
          <w:lang w:val="en-GB"/>
        </w:rPr>
        <w:t xml:space="preserve"> and who proves to the Commissioner’s satisfaction that</w:t>
      </w:r>
      <w:r w:rsidR="00631690">
        <w:rPr>
          <w:lang w:val="en-GB"/>
        </w:rPr>
        <w:t xml:space="preserve"> s</w:t>
      </w:r>
      <w:r w:rsidR="00C61383">
        <w:rPr>
          <w:lang w:val="en-GB"/>
        </w:rPr>
        <w:t>/he</w:t>
      </w:r>
      <w:r>
        <w:rPr>
          <w:lang w:val="en-GB"/>
        </w:rPr>
        <w:t>:</w:t>
      </w:r>
    </w:p>
    <w:p w14:paraId="3DA9D411" w14:textId="77777777" w:rsidR="0074306A" w:rsidRDefault="0074306A" w:rsidP="0094376B">
      <w:pPr>
        <w:pStyle w:val="MBT"/>
        <w:rPr>
          <w:lang w:val="en-GB"/>
        </w:rPr>
      </w:pPr>
    </w:p>
    <w:p w14:paraId="6D0E7D4D" w14:textId="19489BDE" w:rsidR="0094376B" w:rsidRDefault="00C61383" w:rsidP="00B5305A">
      <w:pPr>
        <w:pStyle w:val="MBT"/>
        <w:numPr>
          <w:ilvl w:val="0"/>
          <w:numId w:val="33"/>
        </w:numPr>
        <w:rPr>
          <w:lang w:val="en-GB"/>
        </w:rPr>
      </w:pPr>
      <w:r>
        <w:rPr>
          <w:lang w:val="en-GB"/>
        </w:rPr>
        <w:t>Is</w:t>
      </w:r>
      <w:r w:rsidR="0094376B">
        <w:rPr>
          <w:lang w:val="en-GB"/>
        </w:rPr>
        <w:t xml:space="preserve"> a third-country national and is not a Maltese, EEA or Swiss national;</w:t>
      </w:r>
    </w:p>
    <w:p w14:paraId="5F3CF2DB" w14:textId="1A0204F3" w:rsidR="0094376B" w:rsidRPr="00B5305A" w:rsidRDefault="00C61383" w:rsidP="00B5305A">
      <w:pPr>
        <w:pStyle w:val="MBT"/>
        <w:numPr>
          <w:ilvl w:val="0"/>
          <w:numId w:val="33"/>
        </w:numPr>
        <w:rPr>
          <w:lang w:val="en-GB"/>
        </w:rPr>
      </w:pPr>
      <w:r>
        <w:rPr>
          <w:lang w:val="en-GB"/>
        </w:rPr>
        <w:t>Is</w:t>
      </w:r>
      <w:r w:rsidR="00E86EF1">
        <w:rPr>
          <w:lang w:val="en-GB"/>
        </w:rPr>
        <w:t xml:space="preserve"> not a person who benefits under </w:t>
      </w:r>
      <w:r w:rsidR="00E86EF1" w:rsidRPr="00B5305A">
        <w:rPr>
          <w:lang w:val="en-GB"/>
        </w:rPr>
        <w:t>the Residents Scheme Regulations, the High Net Worth Individuals EU/EEA/Swiss Nationals Rules, the High Net Worth Individuals – Non-EU/EEA/Swiss Nationals Rules, the Malta Retirement Programme Rules, the Qualifying Employment in Innovation and Creativity (Personal Tax) Rules or the Highly Qualified Persons Rules;</w:t>
      </w:r>
    </w:p>
    <w:p w14:paraId="5DE61060" w14:textId="4680556C" w:rsidR="00E86EF1" w:rsidRDefault="00C61383" w:rsidP="00B5305A">
      <w:pPr>
        <w:pStyle w:val="MBT"/>
        <w:numPr>
          <w:ilvl w:val="0"/>
          <w:numId w:val="33"/>
        </w:numPr>
        <w:rPr>
          <w:lang w:val="en-GB"/>
        </w:rPr>
      </w:pPr>
      <w:r>
        <w:rPr>
          <w:lang w:val="en-GB"/>
        </w:rPr>
        <w:t>H</w:t>
      </w:r>
      <w:r w:rsidR="00E86EF1">
        <w:rPr>
          <w:lang w:val="en-GB"/>
        </w:rPr>
        <w:t>olds a qualifying property holding</w:t>
      </w:r>
      <w:r w:rsidR="0074306A">
        <w:rPr>
          <w:lang w:val="en-GB"/>
        </w:rPr>
        <w:t xml:space="preserve"> as described in point 2 of this Section </w:t>
      </w:r>
      <w:r>
        <w:rPr>
          <w:lang w:val="en-GB"/>
        </w:rPr>
        <w:t>below</w:t>
      </w:r>
      <w:r w:rsidR="00E86EF1">
        <w:rPr>
          <w:lang w:val="en-GB"/>
        </w:rPr>
        <w:t>;</w:t>
      </w:r>
    </w:p>
    <w:p w14:paraId="3DDEE5A1" w14:textId="526C9F63" w:rsidR="00E86EF1" w:rsidRDefault="00C61383" w:rsidP="00B5305A">
      <w:pPr>
        <w:pStyle w:val="MBT"/>
        <w:numPr>
          <w:ilvl w:val="0"/>
          <w:numId w:val="33"/>
        </w:numPr>
        <w:rPr>
          <w:lang w:val="en-GB"/>
        </w:rPr>
      </w:pPr>
      <w:r>
        <w:rPr>
          <w:lang w:val="en-GB"/>
        </w:rPr>
        <w:t>Has</w:t>
      </w:r>
      <w:r w:rsidR="00E86EF1">
        <w:rPr>
          <w:lang w:val="en-GB"/>
        </w:rPr>
        <w:t xml:space="preserve"> stable and regular resources which are sufficient to maintain </w:t>
      </w:r>
      <w:r>
        <w:rPr>
          <w:lang w:val="en-GB"/>
        </w:rPr>
        <w:t>the beneficiary</w:t>
      </w:r>
      <w:r w:rsidR="00E86EF1">
        <w:rPr>
          <w:lang w:val="en-GB"/>
        </w:rPr>
        <w:t xml:space="preserve"> and his</w:t>
      </w:r>
      <w:r>
        <w:rPr>
          <w:lang w:val="en-GB"/>
        </w:rPr>
        <w:t xml:space="preserve"> or her</w:t>
      </w:r>
      <w:r w:rsidR="00E86EF1">
        <w:rPr>
          <w:lang w:val="en-GB"/>
        </w:rPr>
        <w:t xml:space="preserve"> dependants without recourse to Malta’s social assistance system;</w:t>
      </w:r>
    </w:p>
    <w:p w14:paraId="131385BE" w14:textId="47434E29" w:rsidR="00E86EF1" w:rsidRDefault="00C61383" w:rsidP="00B5305A">
      <w:pPr>
        <w:pStyle w:val="MBT"/>
        <w:numPr>
          <w:ilvl w:val="0"/>
          <w:numId w:val="33"/>
        </w:numPr>
        <w:rPr>
          <w:lang w:val="en-GB"/>
        </w:rPr>
      </w:pPr>
      <w:r>
        <w:rPr>
          <w:lang w:val="en-GB"/>
        </w:rPr>
        <w:t>Has</w:t>
      </w:r>
      <w:r w:rsidR="00E86EF1">
        <w:rPr>
          <w:lang w:val="en-GB"/>
        </w:rPr>
        <w:t xml:space="preserve"> a valid travel document;</w:t>
      </w:r>
    </w:p>
    <w:p w14:paraId="12C14B5A" w14:textId="40CACE04" w:rsidR="00E86EF1" w:rsidRDefault="00C61383" w:rsidP="00B5305A">
      <w:pPr>
        <w:pStyle w:val="MBT"/>
        <w:numPr>
          <w:ilvl w:val="0"/>
          <w:numId w:val="33"/>
        </w:numPr>
        <w:rPr>
          <w:lang w:val="en-GB"/>
        </w:rPr>
      </w:pPr>
      <w:r>
        <w:rPr>
          <w:lang w:val="en-GB"/>
        </w:rPr>
        <w:t>Has</w:t>
      </w:r>
      <w:r w:rsidR="00E86EF1">
        <w:rPr>
          <w:lang w:val="en-GB"/>
        </w:rPr>
        <w:t xml:space="preserve"> sickness insurance in respect of all risks </w:t>
      </w:r>
      <w:r w:rsidR="005805A6">
        <w:rPr>
          <w:lang w:val="en-GB"/>
        </w:rPr>
        <w:t>across</w:t>
      </w:r>
      <w:r w:rsidR="00E86EF1">
        <w:rPr>
          <w:lang w:val="en-GB"/>
        </w:rPr>
        <w:t xml:space="preserve"> the EU normally covered for M</w:t>
      </w:r>
      <w:r w:rsidR="005805A6">
        <w:rPr>
          <w:lang w:val="en-GB"/>
        </w:rPr>
        <w:t xml:space="preserve">altese </w:t>
      </w:r>
      <w:r w:rsidR="00E86EF1">
        <w:rPr>
          <w:lang w:val="en-GB"/>
        </w:rPr>
        <w:t xml:space="preserve">nationals for </w:t>
      </w:r>
      <w:r>
        <w:rPr>
          <w:lang w:val="en-GB"/>
        </w:rPr>
        <w:t>the beneficiary</w:t>
      </w:r>
      <w:r w:rsidR="00E86EF1">
        <w:rPr>
          <w:lang w:val="en-GB"/>
        </w:rPr>
        <w:t xml:space="preserve"> and his</w:t>
      </w:r>
      <w:r>
        <w:rPr>
          <w:lang w:val="en-GB"/>
        </w:rPr>
        <w:t xml:space="preserve"> or her</w:t>
      </w:r>
      <w:r w:rsidR="00E86EF1">
        <w:rPr>
          <w:lang w:val="en-GB"/>
        </w:rPr>
        <w:t xml:space="preserve"> dependants;</w:t>
      </w:r>
    </w:p>
    <w:p w14:paraId="46439B8A" w14:textId="13C8CFD1" w:rsidR="00E86EF1" w:rsidRDefault="00C61383" w:rsidP="00B5305A">
      <w:pPr>
        <w:pStyle w:val="MBT"/>
        <w:numPr>
          <w:ilvl w:val="0"/>
          <w:numId w:val="33"/>
        </w:numPr>
        <w:rPr>
          <w:lang w:val="en-GB"/>
        </w:rPr>
      </w:pPr>
      <w:r>
        <w:rPr>
          <w:lang w:val="en-GB"/>
        </w:rPr>
        <w:t>Can</w:t>
      </w:r>
      <w:r w:rsidR="00E86EF1">
        <w:rPr>
          <w:lang w:val="en-GB"/>
        </w:rPr>
        <w:t xml:space="preserve"> adequately </w:t>
      </w:r>
      <w:r w:rsidR="005805A6">
        <w:rPr>
          <w:lang w:val="en-GB"/>
        </w:rPr>
        <w:t>communicate</w:t>
      </w:r>
      <w:r w:rsidR="00E86EF1">
        <w:rPr>
          <w:lang w:val="en-GB"/>
        </w:rPr>
        <w:t xml:space="preserve"> in one of Malta’s official languages (English or Maltese)</w:t>
      </w:r>
      <w:r>
        <w:rPr>
          <w:lang w:val="en-GB"/>
        </w:rPr>
        <w:t>;</w:t>
      </w:r>
    </w:p>
    <w:p w14:paraId="04F066CF" w14:textId="5BC300E9" w:rsidR="00E86EF1" w:rsidRDefault="00C61383" w:rsidP="00B5305A">
      <w:pPr>
        <w:pStyle w:val="MBT"/>
        <w:numPr>
          <w:ilvl w:val="0"/>
          <w:numId w:val="33"/>
        </w:numPr>
        <w:rPr>
          <w:lang w:val="en-GB"/>
        </w:rPr>
      </w:pPr>
      <w:r w:rsidRPr="004C7C15">
        <w:rPr>
          <w:lang w:val="en-GB"/>
        </w:rPr>
        <w:t>Is</w:t>
      </w:r>
      <w:r w:rsidR="00E86EF1" w:rsidRPr="004C7C15">
        <w:rPr>
          <w:lang w:val="en-GB"/>
        </w:rPr>
        <w:t xml:space="preserve"> a fit and proper person</w:t>
      </w:r>
      <w:r>
        <w:rPr>
          <w:lang w:val="en-GB"/>
        </w:rPr>
        <w:t>.</w:t>
      </w:r>
    </w:p>
    <w:p w14:paraId="6306D63D" w14:textId="77777777" w:rsidR="00C61383" w:rsidRPr="004C7C15" w:rsidRDefault="00C61383" w:rsidP="00B5305A">
      <w:pPr>
        <w:pStyle w:val="MBT"/>
        <w:ind w:left="720"/>
        <w:rPr>
          <w:lang w:val="en-GB"/>
        </w:rPr>
      </w:pPr>
    </w:p>
    <w:p w14:paraId="2F5D96FE" w14:textId="6D712C28" w:rsidR="00E86EF1" w:rsidRDefault="00E86EF1" w:rsidP="00E86EF1">
      <w:pPr>
        <w:pStyle w:val="MBT"/>
        <w:rPr>
          <w:lang w:val="en-GB"/>
        </w:rPr>
      </w:pPr>
      <w:r>
        <w:rPr>
          <w:lang w:val="en-GB"/>
        </w:rPr>
        <w:t xml:space="preserve">Applications must be done in the </w:t>
      </w:r>
      <w:r w:rsidRPr="004A44E6">
        <w:rPr>
          <w:b/>
          <w:lang w:val="en-GB"/>
        </w:rPr>
        <w:t>form</w:t>
      </w:r>
      <w:r w:rsidRPr="00B5305A">
        <w:rPr>
          <w:lang w:val="en-GB"/>
        </w:rPr>
        <w:t xml:space="preserve"> </w:t>
      </w:r>
      <w:r w:rsidRPr="004A44E6">
        <w:rPr>
          <w:b/>
          <w:lang w:val="en-GB"/>
        </w:rPr>
        <w:t xml:space="preserve">prescribed by the </w:t>
      </w:r>
      <w:r>
        <w:rPr>
          <w:b/>
          <w:lang w:val="en-GB"/>
        </w:rPr>
        <w:t xml:space="preserve">Commissioner for Revenue </w:t>
      </w:r>
      <w:r>
        <w:rPr>
          <w:lang w:val="en-GB"/>
        </w:rPr>
        <w:t xml:space="preserve">and require a </w:t>
      </w:r>
      <w:r w:rsidRPr="004A44E6">
        <w:rPr>
          <w:b/>
          <w:lang w:val="en-GB"/>
        </w:rPr>
        <w:t>payment of a non-refundable administrative fee</w:t>
      </w:r>
      <w:r>
        <w:rPr>
          <w:lang w:val="en-GB"/>
        </w:rPr>
        <w:t xml:space="preserve"> of EUR 6,000.</w:t>
      </w:r>
      <w:r>
        <w:rPr>
          <w:rStyle w:val="FootnoteReference"/>
          <w:lang w:val="en-GB"/>
        </w:rPr>
        <w:footnoteReference w:id="61"/>
      </w:r>
      <w:r>
        <w:rPr>
          <w:lang w:val="en-GB"/>
        </w:rPr>
        <w:t xml:space="preserve"> </w:t>
      </w:r>
      <w:r w:rsidR="00F3080E">
        <w:rPr>
          <w:lang w:val="en-GB"/>
        </w:rPr>
        <w:t xml:space="preserve">For applications where the qualifying property is a qualifying owned property situated in the south of Malta or </w:t>
      </w:r>
      <w:proofErr w:type="spellStart"/>
      <w:r w:rsidR="00F3080E">
        <w:rPr>
          <w:lang w:val="en-GB"/>
        </w:rPr>
        <w:t>Gozo</w:t>
      </w:r>
      <w:proofErr w:type="spellEnd"/>
      <w:r w:rsidR="00F3080E">
        <w:rPr>
          <w:lang w:val="en-GB"/>
        </w:rPr>
        <w:t>, a lower non-refundable administrative fee of EUR 5,500 applies (see point 2 below).</w:t>
      </w:r>
      <w:r w:rsidR="00F3080E">
        <w:rPr>
          <w:rStyle w:val="FootnoteReference"/>
          <w:lang w:val="en-GB"/>
        </w:rPr>
        <w:footnoteReference w:id="62"/>
      </w:r>
      <w:r w:rsidR="00F3080E">
        <w:rPr>
          <w:lang w:val="en-GB"/>
        </w:rPr>
        <w:t xml:space="preserve"> </w:t>
      </w:r>
      <w:r w:rsidR="0074306A">
        <w:rPr>
          <w:lang w:val="en-GB"/>
        </w:rPr>
        <w:t xml:space="preserve">The application form is </w:t>
      </w:r>
      <w:r w:rsidR="0074306A">
        <w:rPr>
          <w:lang w:val="en-GB"/>
        </w:rPr>
        <w:lastRenderedPageBreak/>
        <w:t>available o</w:t>
      </w:r>
      <w:r w:rsidR="00F3080E">
        <w:rPr>
          <w:lang w:val="en-GB"/>
        </w:rPr>
        <w:t>n</w:t>
      </w:r>
      <w:r w:rsidR="0074306A">
        <w:rPr>
          <w:lang w:val="en-GB"/>
        </w:rPr>
        <w:t xml:space="preserve"> the Commissioner for Revenue’s website.</w:t>
      </w:r>
      <w:r w:rsidR="0074306A" w:rsidRPr="00B5305A">
        <w:rPr>
          <w:rStyle w:val="FootnoteReference"/>
          <w:lang w:val="en-GB"/>
        </w:rPr>
        <w:footnoteReference w:id="63"/>
      </w:r>
      <w:r w:rsidR="0074306A">
        <w:rPr>
          <w:lang w:val="en-GB"/>
        </w:rPr>
        <w:t xml:space="preserve"> </w:t>
      </w:r>
      <w:r w:rsidR="00B5305A">
        <w:rPr>
          <w:lang w:val="en-GB"/>
        </w:rPr>
        <w:t>Applicants must also complete a questionnaire.</w:t>
      </w:r>
      <w:r w:rsidR="00B5305A">
        <w:rPr>
          <w:rStyle w:val="FootnoteReference"/>
          <w:lang w:val="en-GB"/>
        </w:rPr>
        <w:footnoteReference w:id="64"/>
      </w:r>
      <w:r w:rsidR="00B5305A">
        <w:rPr>
          <w:lang w:val="en-GB"/>
        </w:rPr>
        <w:t xml:space="preserve"> </w:t>
      </w:r>
    </w:p>
    <w:p w14:paraId="51752493" w14:textId="16090547" w:rsidR="00B6791F" w:rsidRDefault="00B6791F" w:rsidP="00E86EF1">
      <w:pPr>
        <w:pStyle w:val="MBT"/>
        <w:rPr>
          <w:lang w:val="en-GB"/>
        </w:rPr>
      </w:pPr>
    </w:p>
    <w:p w14:paraId="1E0A6528" w14:textId="68C15A8C" w:rsidR="00B6791F" w:rsidRDefault="00B6791F" w:rsidP="00B6791F">
      <w:pPr>
        <w:pStyle w:val="MBT"/>
        <w:rPr>
          <w:lang w:val="en-GB"/>
        </w:rPr>
      </w:pPr>
      <w:r>
        <w:rPr>
          <w:lang w:val="en-GB"/>
        </w:rPr>
        <w:t xml:space="preserve">Where the individual qualifies as a beneficiary, the </w:t>
      </w:r>
      <w:r>
        <w:rPr>
          <w:b/>
          <w:lang w:val="en-GB"/>
        </w:rPr>
        <w:t>Commissioner for Revenue</w:t>
      </w:r>
      <w:r w:rsidRPr="00E153EF">
        <w:rPr>
          <w:b/>
          <w:lang w:val="en-GB"/>
        </w:rPr>
        <w:t xml:space="preserve"> will determine in writing that </w:t>
      </w:r>
      <w:r>
        <w:rPr>
          <w:b/>
          <w:lang w:val="en-GB"/>
        </w:rPr>
        <w:t xml:space="preserve">s/he </w:t>
      </w:r>
      <w:r w:rsidRPr="00E153EF">
        <w:rPr>
          <w:b/>
          <w:lang w:val="en-GB"/>
        </w:rPr>
        <w:t xml:space="preserve">is to be </w:t>
      </w:r>
      <w:r>
        <w:rPr>
          <w:b/>
          <w:lang w:val="en-GB"/>
        </w:rPr>
        <w:t>granted special tax status</w:t>
      </w:r>
      <w:r>
        <w:rPr>
          <w:lang w:val="en-GB"/>
        </w:rPr>
        <w:t xml:space="preserve"> under the GRP </w:t>
      </w:r>
      <w:r w:rsidR="00C61383">
        <w:rPr>
          <w:lang w:val="en-GB"/>
        </w:rPr>
        <w:t>r</w:t>
      </w:r>
      <w:r>
        <w:rPr>
          <w:lang w:val="en-GB"/>
        </w:rPr>
        <w:t>ules.</w:t>
      </w:r>
      <w:r>
        <w:rPr>
          <w:rStyle w:val="FootnoteReference"/>
          <w:lang w:val="en-GB"/>
        </w:rPr>
        <w:footnoteReference w:id="65"/>
      </w:r>
      <w:r>
        <w:rPr>
          <w:lang w:val="en-GB"/>
        </w:rPr>
        <w:t xml:space="preserve"> </w:t>
      </w:r>
      <w:r w:rsidR="00C61383">
        <w:rPr>
          <w:lang w:val="en-GB"/>
        </w:rPr>
        <w:t>The procedure for making such a determination is not further specified in the legislation.</w:t>
      </w:r>
      <w:r w:rsidR="00B5305A">
        <w:rPr>
          <w:lang w:val="en-GB"/>
        </w:rPr>
        <w:t xml:space="preserve"> However, non-binding Guidance Notes</w:t>
      </w:r>
      <w:r w:rsidR="00B5305A">
        <w:rPr>
          <w:rStyle w:val="FootnoteReference"/>
          <w:lang w:val="en-GB"/>
        </w:rPr>
        <w:footnoteReference w:id="66"/>
      </w:r>
      <w:r w:rsidR="00B5305A">
        <w:rPr>
          <w:lang w:val="en-GB"/>
        </w:rPr>
        <w:t xml:space="preserve"> are available on the Commissioner for Revenue’s website and these specify that the written determination to grant special tax status is preceded by a </w:t>
      </w:r>
      <w:r w:rsidR="00B5305A">
        <w:rPr>
          <w:b/>
          <w:lang w:val="en-GB"/>
        </w:rPr>
        <w:t xml:space="preserve">letter of intent </w:t>
      </w:r>
      <w:r w:rsidR="00B5305A">
        <w:rPr>
          <w:lang w:val="en-GB"/>
        </w:rPr>
        <w:t xml:space="preserve">that is valid for 12 months. Further details </w:t>
      </w:r>
      <w:r w:rsidR="00407CD0">
        <w:rPr>
          <w:lang w:val="en-GB"/>
        </w:rPr>
        <w:t>from</w:t>
      </w:r>
      <w:r w:rsidR="00B5305A">
        <w:rPr>
          <w:lang w:val="en-GB"/>
        </w:rPr>
        <w:t xml:space="preserve"> the Guidance Notes are provided </w:t>
      </w:r>
      <w:r w:rsidR="00407CD0">
        <w:rPr>
          <w:lang w:val="en-GB"/>
        </w:rPr>
        <w:t>in the</w:t>
      </w:r>
      <w:r w:rsidR="00B5305A">
        <w:rPr>
          <w:lang w:val="en-GB"/>
        </w:rPr>
        <w:t xml:space="preserve"> relevant </w:t>
      </w:r>
      <w:r w:rsidR="00407CD0">
        <w:rPr>
          <w:lang w:val="en-GB"/>
        </w:rPr>
        <w:t xml:space="preserve">Sections </w:t>
      </w:r>
      <w:r w:rsidR="00B5305A">
        <w:rPr>
          <w:lang w:val="en-GB"/>
        </w:rPr>
        <w:t xml:space="preserve">of this </w:t>
      </w:r>
      <w:r w:rsidR="00884757">
        <w:rPr>
          <w:lang w:val="en-GB"/>
        </w:rPr>
        <w:t>report, in particular, points 2, 3 and 4 of Section II</w:t>
      </w:r>
      <w:r w:rsidR="00B5305A">
        <w:rPr>
          <w:lang w:val="en-GB"/>
        </w:rPr>
        <w:t>.</w:t>
      </w:r>
    </w:p>
    <w:p w14:paraId="731C4184" w14:textId="6A312F46" w:rsidR="00B6791F" w:rsidRDefault="00B6791F" w:rsidP="00E86EF1">
      <w:pPr>
        <w:pStyle w:val="MBT"/>
        <w:rPr>
          <w:lang w:val="en-GB"/>
        </w:rPr>
      </w:pPr>
    </w:p>
    <w:p w14:paraId="2ED04C8B" w14:textId="1FC2DB5D" w:rsidR="00B6791F" w:rsidRDefault="00B6791F" w:rsidP="00B6791F">
      <w:pPr>
        <w:pStyle w:val="MBT"/>
        <w:rPr>
          <w:lang w:val="en-GB"/>
        </w:rPr>
      </w:pPr>
      <w:r w:rsidRPr="009A3369">
        <w:rPr>
          <w:lang w:val="en-GB"/>
        </w:rPr>
        <w:t xml:space="preserve">LN </w:t>
      </w:r>
      <w:r>
        <w:rPr>
          <w:lang w:val="en-GB"/>
        </w:rPr>
        <w:t>167/2013</w:t>
      </w:r>
      <w:r w:rsidRPr="009A3369">
        <w:rPr>
          <w:lang w:val="en-GB"/>
        </w:rPr>
        <w:t xml:space="preserve"> provides for the </w:t>
      </w:r>
      <w:r w:rsidRPr="009A3369">
        <w:rPr>
          <w:b/>
          <w:lang w:val="en-GB"/>
        </w:rPr>
        <w:t xml:space="preserve">cessation of the </w:t>
      </w:r>
      <w:r>
        <w:rPr>
          <w:b/>
          <w:lang w:val="en-GB"/>
        </w:rPr>
        <w:t xml:space="preserve">special tax status </w:t>
      </w:r>
      <w:r w:rsidRPr="009A3369">
        <w:rPr>
          <w:lang w:val="en-GB"/>
        </w:rPr>
        <w:t xml:space="preserve">in the circumstances stipulated by </w:t>
      </w:r>
      <w:r>
        <w:rPr>
          <w:lang w:val="en-GB"/>
        </w:rPr>
        <w:t>Rule 6(1)</w:t>
      </w:r>
      <w:r w:rsidRPr="009A3369">
        <w:rPr>
          <w:lang w:val="en-GB"/>
        </w:rPr>
        <w:t>.</w:t>
      </w:r>
      <w:r>
        <w:rPr>
          <w:lang w:val="en-GB"/>
        </w:rPr>
        <w:t xml:space="preserve"> With effect from the appointed day</w:t>
      </w:r>
      <w:r w:rsidR="00DC715F">
        <w:rPr>
          <w:lang w:val="en-GB"/>
        </w:rPr>
        <w:t>, that is, the date on which the Commissioner for Revenue determines in writing tha</w:t>
      </w:r>
      <w:r w:rsidR="00C61383">
        <w:rPr>
          <w:lang w:val="en-GB"/>
        </w:rPr>
        <w:t>t</w:t>
      </w:r>
      <w:r w:rsidR="00DC715F">
        <w:rPr>
          <w:lang w:val="en-GB"/>
        </w:rPr>
        <w:t xml:space="preserve"> an individual is granted special tax status under the GRP rules</w:t>
      </w:r>
      <w:r>
        <w:rPr>
          <w:lang w:val="en-GB"/>
        </w:rPr>
        <w:t>,</w:t>
      </w:r>
      <w:r w:rsidR="00DC715F">
        <w:rPr>
          <w:rStyle w:val="FootnoteReference"/>
          <w:lang w:val="en-GB"/>
        </w:rPr>
        <w:footnoteReference w:id="67"/>
      </w:r>
      <w:r>
        <w:rPr>
          <w:lang w:val="en-GB"/>
        </w:rPr>
        <w:t xml:space="preserve"> </w:t>
      </w:r>
      <w:r w:rsidRPr="004A44E6">
        <w:rPr>
          <w:b/>
          <w:lang w:val="en-GB"/>
        </w:rPr>
        <w:t>a beneficia</w:t>
      </w:r>
      <w:r w:rsidR="00DC715F">
        <w:rPr>
          <w:b/>
          <w:lang w:val="en-GB"/>
        </w:rPr>
        <w:t xml:space="preserve">ry will cease to benefit from </w:t>
      </w:r>
      <w:r>
        <w:rPr>
          <w:b/>
          <w:lang w:val="en-GB"/>
        </w:rPr>
        <w:t>special tax status</w:t>
      </w:r>
      <w:r w:rsidR="00DC715F">
        <w:rPr>
          <w:b/>
          <w:lang w:val="en-GB"/>
        </w:rPr>
        <w:t xml:space="preserve"> if</w:t>
      </w:r>
      <w:r w:rsidRPr="004A44E6">
        <w:rPr>
          <w:b/>
          <w:lang w:val="en-GB"/>
        </w:rPr>
        <w:t xml:space="preserve"> s/he</w:t>
      </w:r>
      <w:r>
        <w:rPr>
          <w:lang w:val="en-GB"/>
        </w:rPr>
        <w:t>:</w:t>
      </w:r>
    </w:p>
    <w:p w14:paraId="7BEF850D" w14:textId="73177C74" w:rsidR="00B6791F" w:rsidRDefault="00B6791F" w:rsidP="00E86EF1">
      <w:pPr>
        <w:pStyle w:val="MBT"/>
        <w:rPr>
          <w:lang w:val="en-GB"/>
        </w:rPr>
      </w:pPr>
    </w:p>
    <w:p w14:paraId="2EF12033" w14:textId="77777777" w:rsidR="00B6791F" w:rsidRDefault="00B6791F" w:rsidP="00B6791F">
      <w:pPr>
        <w:pStyle w:val="MBT"/>
        <w:numPr>
          <w:ilvl w:val="0"/>
          <w:numId w:val="19"/>
        </w:numPr>
        <w:rPr>
          <w:lang w:val="en-GB"/>
        </w:rPr>
      </w:pPr>
      <w:r>
        <w:rPr>
          <w:lang w:val="en-GB"/>
        </w:rPr>
        <w:t>Becomes a Maltese, EEA or Swiss national;</w:t>
      </w:r>
    </w:p>
    <w:p w14:paraId="736D04D0" w14:textId="06116CCB" w:rsidR="00B6791F" w:rsidRDefault="00B6791F" w:rsidP="00B6791F">
      <w:pPr>
        <w:pStyle w:val="MBT"/>
        <w:numPr>
          <w:ilvl w:val="0"/>
          <w:numId w:val="19"/>
        </w:numPr>
        <w:rPr>
          <w:lang w:val="en-GB"/>
        </w:rPr>
      </w:pPr>
      <w:r>
        <w:rPr>
          <w:lang w:val="en-GB"/>
        </w:rPr>
        <w:t>At any time after the appointed day, does not hold a qualifying property, including in the case where the individual lets or sublets the property;</w:t>
      </w:r>
    </w:p>
    <w:p w14:paraId="65876051" w14:textId="3BFDE147" w:rsidR="00B6791F" w:rsidRPr="00B5305A" w:rsidRDefault="00B6791F" w:rsidP="00B6791F">
      <w:pPr>
        <w:pStyle w:val="MBT"/>
        <w:numPr>
          <w:ilvl w:val="0"/>
          <w:numId w:val="19"/>
        </w:numPr>
        <w:rPr>
          <w:lang w:val="en-GB"/>
        </w:rPr>
      </w:pPr>
      <w:r w:rsidRPr="00B5305A">
        <w:rPr>
          <w:lang w:val="en-GB"/>
        </w:rPr>
        <w:t>Becomes a long-term resident;</w:t>
      </w:r>
    </w:p>
    <w:p w14:paraId="15B8426D" w14:textId="661466BD" w:rsidR="00B6791F" w:rsidRPr="00EE1F63" w:rsidRDefault="00B6791F" w:rsidP="00B6791F">
      <w:pPr>
        <w:pStyle w:val="MBT"/>
        <w:numPr>
          <w:ilvl w:val="0"/>
          <w:numId w:val="19"/>
        </w:numPr>
        <w:rPr>
          <w:lang w:val="en-GB"/>
        </w:rPr>
      </w:pPr>
      <w:r w:rsidRPr="00C4365A">
        <w:rPr>
          <w:lang w:val="en-GB"/>
        </w:rPr>
        <w:t xml:space="preserve">No longer has sickness insurance in respect </w:t>
      </w:r>
      <w:r w:rsidRPr="00421BD7">
        <w:rPr>
          <w:lang w:val="en-GB"/>
        </w:rPr>
        <w:t>of</w:t>
      </w:r>
      <w:r w:rsidRPr="00EE1F63">
        <w:rPr>
          <w:lang w:val="en-GB"/>
        </w:rPr>
        <w:t xml:space="preserve"> all risks normally covered for Maltese nationals for him/herself and his/her dependants;</w:t>
      </w:r>
    </w:p>
    <w:p w14:paraId="385E99EC" w14:textId="65DC752F" w:rsidR="00B6791F" w:rsidRPr="00B5305A" w:rsidRDefault="00B6791F" w:rsidP="00B6791F">
      <w:pPr>
        <w:pStyle w:val="MBT"/>
        <w:numPr>
          <w:ilvl w:val="0"/>
          <w:numId w:val="19"/>
        </w:numPr>
        <w:rPr>
          <w:lang w:val="en-GB"/>
        </w:rPr>
      </w:pPr>
      <w:r w:rsidRPr="00EE1F63">
        <w:rPr>
          <w:lang w:val="en-GB"/>
        </w:rPr>
        <w:t>Stays in any other jurisdiction for more than 183 days in a calendar year</w:t>
      </w:r>
      <w:r w:rsidR="00C61383" w:rsidRPr="00EE1F63">
        <w:rPr>
          <w:lang w:val="en-GB"/>
        </w:rPr>
        <w:t xml:space="preserve"> (</w:t>
      </w:r>
      <w:r w:rsidR="00B5305A">
        <w:rPr>
          <w:lang w:val="en-GB"/>
        </w:rPr>
        <w:t>it is note</w:t>
      </w:r>
      <w:r w:rsidR="00884757">
        <w:rPr>
          <w:lang w:val="en-GB"/>
        </w:rPr>
        <w:t>d</w:t>
      </w:r>
      <w:r w:rsidR="00B5305A">
        <w:rPr>
          <w:lang w:val="en-GB"/>
        </w:rPr>
        <w:t xml:space="preserve"> that this is not equivalent to a requirement to stay in Malta for 183 days - </w:t>
      </w:r>
      <w:r w:rsidR="00C61383" w:rsidRPr="00B5305A">
        <w:rPr>
          <w:lang w:val="en-GB"/>
        </w:rPr>
        <w:t xml:space="preserve">for further details see </w:t>
      </w:r>
      <w:r w:rsidR="00B5305A" w:rsidRPr="00C83D3F">
        <w:rPr>
          <w:lang w:val="en-GB"/>
        </w:rPr>
        <w:t>point 3 below).</w:t>
      </w:r>
    </w:p>
    <w:p w14:paraId="670E6978" w14:textId="77777777" w:rsidR="00B6791F" w:rsidRDefault="00B6791F" w:rsidP="00E86EF1">
      <w:pPr>
        <w:pStyle w:val="MBT"/>
        <w:rPr>
          <w:lang w:val="en-GB"/>
        </w:rPr>
      </w:pPr>
    </w:p>
    <w:p w14:paraId="24192F6D" w14:textId="58B1151A" w:rsidR="0094376B" w:rsidRDefault="00B6791F" w:rsidP="0094376B">
      <w:pPr>
        <w:pStyle w:val="MBT"/>
      </w:pPr>
      <w:r>
        <w:rPr>
          <w:lang w:val="en-GB"/>
        </w:rPr>
        <w:t xml:space="preserve">Individuals who cease </w:t>
      </w:r>
      <w:r w:rsidR="00C61383">
        <w:rPr>
          <w:lang w:val="en-GB"/>
        </w:rPr>
        <w:t xml:space="preserve">to </w:t>
      </w:r>
      <w:r>
        <w:t xml:space="preserve">possess special tax status </w:t>
      </w:r>
      <w:r w:rsidRPr="00B45D8D">
        <w:t>for any of the</w:t>
      </w:r>
      <w:r>
        <w:t>se</w:t>
      </w:r>
      <w:r w:rsidRPr="00B45D8D">
        <w:t xml:space="preserve"> reasons</w:t>
      </w:r>
      <w:r>
        <w:t xml:space="preserve"> must </w:t>
      </w:r>
      <w:r w:rsidRPr="004C7C15">
        <w:t>notify the Commissioner for Revenue</w:t>
      </w:r>
      <w:r>
        <w:t xml:space="preserve"> within</w:t>
      </w:r>
      <w:r w:rsidRPr="00B45D8D">
        <w:t xml:space="preserve"> four weeks from the date when </w:t>
      </w:r>
      <w:r>
        <w:t>they become</w:t>
      </w:r>
      <w:r w:rsidRPr="00B45D8D">
        <w:t xml:space="preserve"> aware of</w:t>
      </w:r>
      <w:r>
        <w:t xml:space="preserve"> </w:t>
      </w:r>
      <w:r w:rsidRPr="00B45D8D">
        <w:t>such event</w:t>
      </w:r>
      <w:r>
        <w:t xml:space="preserve">. Where the notification is not made within the time limit an </w:t>
      </w:r>
      <w:r w:rsidRPr="00B45D8D">
        <w:t xml:space="preserve">administrative penalty of </w:t>
      </w:r>
      <w:r>
        <w:t xml:space="preserve">EUR </w:t>
      </w:r>
      <w:r w:rsidR="007D1AEB">
        <w:t>5</w:t>
      </w:r>
      <w:r>
        <w:t>,000 will apply.</w:t>
      </w:r>
      <w:r>
        <w:rPr>
          <w:rStyle w:val="FootnoteReference"/>
        </w:rPr>
        <w:footnoteReference w:id="68"/>
      </w:r>
      <w:r>
        <w:t xml:space="preserve"> </w:t>
      </w:r>
      <w:r w:rsidR="007D1AEB">
        <w:t>Individuals also cease to have special tax status if they notify the Commissioner for Revenue of their intention not to remain in possession of special tax status. The cessation has immediate effect from the relevant year of assessment.</w:t>
      </w:r>
      <w:r w:rsidR="007D1AEB">
        <w:rPr>
          <w:rStyle w:val="FootnoteReference"/>
        </w:rPr>
        <w:footnoteReference w:id="69"/>
      </w:r>
      <w:r w:rsidR="007D1AEB">
        <w:t xml:space="preserve"> The special tax status will also cease where the individual </w:t>
      </w:r>
      <w:r w:rsidR="000112D6">
        <w:t>breaches</w:t>
      </w:r>
      <w:r w:rsidR="007D1AEB">
        <w:t xml:space="preserve"> the Income Tax Act or of the </w:t>
      </w:r>
      <w:r w:rsidR="007D1AEB" w:rsidRPr="00B5305A">
        <w:t>Income Tax Management Act.</w:t>
      </w:r>
      <w:r w:rsidR="007D1AEB" w:rsidRPr="00B5305A">
        <w:rPr>
          <w:rStyle w:val="FootnoteReference"/>
        </w:rPr>
        <w:footnoteReference w:id="70"/>
      </w:r>
    </w:p>
    <w:p w14:paraId="4CAAD333" w14:textId="507516E8" w:rsidR="007D1AEB" w:rsidRDefault="007D1AEB" w:rsidP="0094376B">
      <w:pPr>
        <w:pStyle w:val="MBT"/>
      </w:pPr>
    </w:p>
    <w:p w14:paraId="127174C9" w14:textId="55C3FE48" w:rsidR="007D1AEB" w:rsidRPr="00B45D8D" w:rsidRDefault="007D1AEB" w:rsidP="007D1AEB">
      <w:pPr>
        <w:pStyle w:val="MBT"/>
      </w:pPr>
      <w:r>
        <w:t>As with failure to satisfy the conditions under the MRVP, the competent Ministers</w:t>
      </w:r>
      <w:r>
        <w:rPr>
          <w:rStyle w:val="FootnoteReference"/>
        </w:rPr>
        <w:footnoteReference w:id="71"/>
      </w:r>
      <w:r>
        <w:t xml:space="preserve"> can however jointly condone failure to satisfy the </w:t>
      </w:r>
      <w:r w:rsidR="00C61383">
        <w:t xml:space="preserve">GRP </w:t>
      </w:r>
      <w:r>
        <w:t xml:space="preserve">conditions if the </w:t>
      </w:r>
      <w:r w:rsidRPr="00B45D8D">
        <w:t>failure was due to</w:t>
      </w:r>
      <w:r>
        <w:t xml:space="preserve"> unforeseen</w:t>
      </w:r>
      <w:r w:rsidRPr="00B45D8D">
        <w:t xml:space="preserve"> circumstances</w:t>
      </w:r>
      <w:r>
        <w:t xml:space="preserve"> </w:t>
      </w:r>
      <w:r w:rsidRPr="00B45D8D">
        <w:t xml:space="preserve">beyond the </w:t>
      </w:r>
      <w:r>
        <w:t>individual’s control, the</w:t>
      </w:r>
      <w:r w:rsidRPr="00B45D8D">
        <w:t xml:space="preserve"> individual notifie</w:t>
      </w:r>
      <w:r>
        <w:t>s the Ministers of such failure and exercised</w:t>
      </w:r>
      <w:r w:rsidRPr="00B45D8D">
        <w:t xml:space="preserve"> his</w:t>
      </w:r>
      <w:r>
        <w:t>/her best efforts</w:t>
      </w:r>
      <w:r w:rsidRPr="00B45D8D">
        <w:t xml:space="preserve"> to</w:t>
      </w:r>
      <w:r>
        <w:t xml:space="preserve"> </w:t>
      </w:r>
      <w:r w:rsidRPr="00B45D8D">
        <w:t>remedy the failure</w:t>
      </w:r>
      <w:r>
        <w:t>.</w:t>
      </w:r>
      <w:r>
        <w:rPr>
          <w:rStyle w:val="FootnoteReference"/>
        </w:rPr>
        <w:footnoteReference w:id="72"/>
      </w:r>
      <w:r>
        <w:t xml:space="preserve"> </w:t>
      </w:r>
      <w:r w:rsidR="00C16245">
        <w:t>As explained for the MRVP above, this</w:t>
      </w:r>
      <w:r>
        <w:t xml:space="preserve"> means that the competent Ministers can decide to depart from the conditions set out in the law. </w:t>
      </w:r>
    </w:p>
    <w:p w14:paraId="2599EF4E" w14:textId="77777777" w:rsidR="007D1AEB" w:rsidRDefault="007D1AEB" w:rsidP="007D1AEB">
      <w:pPr>
        <w:pStyle w:val="MBT"/>
      </w:pPr>
    </w:p>
    <w:p w14:paraId="36FC91C8" w14:textId="2120BE16" w:rsidR="007D1AEB" w:rsidRDefault="00C16245" w:rsidP="0094376B">
      <w:pPr>
        <w:pStyle w:val="MBT"/>
      </w:pPr>
      <w:r>
        <w:lastRenderedPageBreak/>
        <w:t xml:space="preserve">LN 167/2013 </w:t>
      </w:r>
      <w:r w:rsidRPr="00E461F3">
        <w:rPr>
          <w:b/>
        </w:rPr>
        <w:t>does not prescribe any legal remedies</w:t>
      </w:r>
      <w:r>
        <w:t xml:space="preserve"> in the case of refusal of special tax status.</w:t>
      </w:r>
    </w:p>
    <w:p w14:paraId="333B9E72" w14:textId="77777777" w:rsidR="00CC3AA9" w:rsidRDefault="00CC3AA9" w:rsidP="0094376B">
      <w:pPr>
        <w:pStyle w:val="MBT"/>
      </w:pPr>
    </w:p>
    <w:p w14:paraId="29E678C6" w14:textId="57419088" w:rsidR="007D1AEB" w:rsidRPr="00346D85" w:rsidRDefault="00745884" w:rsidP="0094376B">
      <w:pPr>
        <w:pStyle w:val="MBT"/>
        <w:rPr>
          <w:highlight w:val="yellow"/>
        </w:rPr>
      </w:pPr>
      <w:r w:rsidRPr="00346D85">
        <w:t xml:space="preserve">To regulate their rights of entry and stay in Malta GRP beneficiaries may apply for </w:t>
      </w:r>
      <w:r w:rsidR="00047DFA" w:rsidRPr="00346D85">
        <w:t xml:space="preserve">a </w:t>
      </w:r>
      <w:r w:rsidR="00047DFA" w:rsidRPr="00346D85">
        <w:rPr>
          <w:b/>
        </w:rPr>
        <w:t xml:space="preserve">uniform </w:t>
      </w:r>
      <w:r w:rsidRPr="00346D85">
        <w:rPr>
          <w:b/>
        </w:rPr>
        <w:t>residence permit</w:t>
      </w:r>
      <w:r w:rsidRPr="00346D85">
        <w:t xml:space="preserve"> under </w:t>
      </w:r>
      <w:r w:rsidR="00047DFA" w:rsidRPr="00346D85">
        <w:t xml:space="preserve">Regulation 12 </w:t>
      </w:r>
      <w:r w:rsidRPr="00346D85">
        <w:t xml:space="preserve">of </w:t>
      </w:r>
      <w:r w:rsidR="00047DFA" w:rsidRPr="00346D85">
        <w:t>the Immigration Regulations</w:t>
      </w:r>
      <w:r w:rsidR="003A1151" w:rsidRPr="00346D85">
        <w:t>. A uniform</w:t>
      </w:r>
      <w:r w:rsidR="00047DFA" w:rsidRPr="00346D85">
        <w:t xml:space="preserve"> residence permit is an </w:t>
      </w:r>
      <w:proofErr w:type="spellStart"/>
      <w:r w:rsidR="00047DFA" w:rsidRPr="00346D85">
        <w:t>authori</w:t>
      </w:r>
      <w:r w:rsidR="003A1151" w:rsidRPr="00346D85">
        <w:t>s</w:t>
      </w:r>
      <w:r w:rsidR="00047DFA" w:rsidRPr="00346D85">
        <w:t>ation</w:t>
      </w:r>
      <w:proofErr w:type="spellEnd"/>
      <w:r w:rsidR="00047DFA" w:rsidRPr="00346D85">
        <w:t xml:space="preserve"> giving the right of residence within the territory of Malta to a third country national who is not dependent on an EU citizen.</w:t>
      </w:r>
      <w:r w:rsidR="00443D35" w:rsidRPr="00346D85">
        <w:rPr>
          <w:rStyle w:val="FootnoteReference"/>
        </w:rPr>
        <w:footnoteReference w:id="73"/>
      </w:r>
      <w:r w:rsidR="00443D35">
        <w:t xml:space="preserve"> </w:t>
      </w:r>
      <w:r w:rsidR="00346D85" w:rsidRPr="00346D85">
        <w:t xml:space="preserve"> Further details are provided in point 3 below.</w:t>
      </w:r>
      <w:r w:rsidR="00047DFA" w:rsidRPr="00346D85">
        <w:t xml:space="preserve"> </w:t>
      </w:r>
    </w:p>
    <w:p w14:paraId="05DBD3BE" w14:textId="77777777" w:rsidR="002D1370" w:rsidRDefault="002D1370" w:rsidP="00204BA5">
      <w:pPr>
        <w:pStyle w:val="MBT"/>
        <w:rPr>
          <w:lang w:val="en-GB"/>
        </w:rPr>
      </w:pPr>
    </w:p>
    <w:p w14:paraId="79C863AE" w14:textId="1FCC6176" w:rsidR="00B311A7" w:rsidRPr="00BF2E9C" w:rsidRDefault="00B311A7" w:rsidP="00E461F3">
      <w:pPr>
        <w:pStyle w:val="MH2"/>
        <w:spacing w:after="0"/>
        <w:outlineLvl w:val="9"/>
      </w:pPr>
      <w:bookmarkStart w:id="12" w:name="_Toc379109058"/>
      <w:bookmarkStart w:id="13" w:name="_Hlk496121285"/>
      <w:r w:rsidRPr="00BF2E9C">
        <w:t>Competent authorities</w:t>
      </w:r>
      <w:r w:rsidR="00E461F3" w:rsidRPr="00BF2E9C">
        <w:t xml:space="preserve"> and non-public bodies</w:t>
      </w:r>
      <w:bookmarkEnd w:id="12"/>
    </w:p>
    <w:bookmarkEnd w:id="13"/>
    <w:p w14:paraId="216CB02D" w14:textId="5D718A73" w:rsidR="003B3938" w:rsidRDefault="003B3938" w:rsidP="00E461F3">
      <w:pPr>
        <w:pStyle w:val="MBT"/>
        <w:rPr>
          <w:lang w:val="en-GB"/>
        </w:rPr>
      </w:pPr>
    </w:p>
    <w:p w14:paraId="6A5AB15D" w14:textId="77777777" w:rsidR="00C16245" w:rsidRPr="00B5305A" w:rsidRDefault="00C16245" w:rsidP="00B5305A">
      <w:pPr>
        <w:pStyle w:val="MBT"/>
        <w:numPr>
          <w:ilvl w:val="0"/>
          <w:numId w:val="34"/>
        </w:numPr>
        <w:rPr>
          <w:b/>
          <w:lang w:val="en-GB"/>
        </w:rPr>
      </w:pPr>
      <w:r w:rsidRPr="00B5305A">
        <w:rPr>
          <w:b/>
          <w:lang w:val="en-GB"/>
        </w:rPr>
        <w:t>MRVP</w:t>
      </w:r>
    </w:p>
    <w:p w14:paraId="51E35DA6" w14:textId="77777777" w:rsidR="00C16245" w:rsidRDefault="00C16245" w:rsidP="00C16245">
      <w:pPr>
        <w:pStyle w:val="MBT"/>
        <w:rPr>
          <w:lang w:val="en-GB"/>
        </w:rPr>
      </w:pPr>
    </w:p>
    <w:p w14:paraId="76BF4CE7" w14:textId="7137DC1B" w:rsidR="009F3432" w:rsidRPr="009F1716" w:rsidRDefault="009F3432" w:rsidP="00C16245">
      <w:pPr>
        <w:pStyle w:val="MBT"/>
        <w:rPr>
          <w:lang w:val="en-GB"/>
        </w:rPr>
      </w:pPr>
      <w:r w:rsidRPr="00C16245">
        <w:rPr>
          <w:lang w:val="en-GB"/>
        </w:rPr>
        <w:t xml:space="preserve">The competent authorities </w:t>
      </w:r>
      <w:r w:rsidR="00C61383">
        <w:rPr>
          <w:lang w:val="en-GB"/>
        </w:rPr>
        <w:t xml:space="preserve">for the MRVP </w:t>
      </w:r>
      <w:r w:rsidRPr="00C16245">
        <w:rPr>
          <w:lang w:val="en-GB"/>
        </w:rPr>
        <w:t xml:space="preserve">are the </w:t>
      </w:r>
      <w:r w:rsidRPr="00C16245">
        <w:rPr>
          <w:b/>
          <w:lang w:val="en-GB"/>
        </w:rPr>
        <w:t>MRVA</w:t>
      </w:r>
      <w:r w:rsidRPr="00C16245">
        <w:rPr>
          <w:lang w:val="en-GB"/>
        </w:rPr>
        <w:t xml:space="preserve"> and </w:t>
      </w:r>
      <w:r w:rsidRPr="00C16245">
        <w:rPr>
          <w:b/>
          <w:lang w:val="en-GB"/>
        </w:rPr>
        <w:t>Identity Malta</w:t>
      </w:r>
      <w:r w:rsidRPr="00C16245">
        <w:rPr>
          <w:lang w:val="en-GB"/>
        </w:rPr>
        <w:t>.</w:t>
      </w:r>
      <w:r w:rsidRPr="009F1716">
        <w:rPr>
          <w:lang w:val="en-GB"/>
        </w:rPr>
        <w:t xml:space="preserve"> These are government agencies established by the Malta Residence and Visa Agency (Establishment) Order and the Identity Malta Agency (Establishment) Order</w:t>
      </w:r>
      <w:r w:rsidR="005D7E61" w:rsidRPr="009F1716">
        <w:rPr>
          <w:lang w:val="en-GB"/>
        </w:rPr>
        <w:t xml:space="preserve"> respectively as outlined in Section I above.</w:t>
      </w:r>
    </w:p>
    <w:p w14:paraId="0A4B260D" w14:textId="77777777" w:rsidR="00810ECF" w:rsidRDefault="00810ECF" w:rsidP="00E461F3">
      <w:pPr>
        <w:pStyle w:val="MBT"/>
        <w:rPr>
          <w:lang w:val="en-GB"/>
        </w:rPr>
      </w:pPr>
    </w:p>
    <w:p w14:paraId="600CCEB3" w14:textId="3598AC2B" w:rsidR="00623F1D" w:rsidRDefault="00623F1D" w:rsidP="00E461F3">
      <w:pPr>
        <w:pStyle w:val="MBT"/>
        <w:rPr>
          <w:lang w:val="en-GB"/>
        </w:rPr>
      </w:pPr>
      <w:r>
        <w:rPr>
          <w:lang w:val="en-GB"/>
        </w:rPr>
        <w:t>The MRVA’s role in the application process is described in point 1.1 above.</w:t>
      </w:r>
    </w:p>
    <w:p w14:paraId="37295422" w14:textId="77777777" w:rsidR="009F3432" w:rsidRDefault="009F3432" w:rsidP="003B3938">
      <w:pPr>
        <w:pStyle w:val="MBT"/>
        <w:rPr>
          <w:lang w:val="en-GB"/>
        </w:rPr>
      </w:pPr>
    </w:p>
    <w:p w14:paraId="4D121E8D" w14:textId="50A290B0" w:rsidR="009F3432" w:rsidRPr="0044090D" w:rsidRDefault="009F3432" w:rsidP="009F3432">
      <w:pPr>
        <w:pStyle w:val="MBT"/>
        <w:rPr>
          <w:lang w:val="en-GB"/>
        </w:rPr>
      </w:pPr>
      <w:r>
        <w:rPr>
          <w:lang w:val="en-GB"/>
        </w:rPr>
        <w:t xml:space="preserve">Applications must be submitted to </w:t>
      </w:r>
      <w:r w:rsidR="002155B8">
        <w:rPr>
          <w:lang w:val="en-GB"/>
        </w:rPr>
        <w:t>the MRVA</w:t>
      </w:r>
      <w:r>
        <w:rPr>
          <w:lang w:val="en-GB"/>
        </w:rPr>
        <w:t xml:space="preserve"> through approved agents or accredited persons.</w:t>
      </w:r>
      <w:r w:rsidR="000A5409">
        <w:rPr>
          <w:rStyle w:val="FootnoteReference"/>
          <w:lang w:val="en-GB"/>
        </w:rPr>
        <w:footnoteReference w:id="74"/>
      </w:r>
      <w:r>
        <w:rPr>
          <w:lang w:val="en-GB"/>
        </w:rPr>
        <w:t xml:space="preserve"> </w:t>
      </w:r>
      <w:r w:rsidRPr="0044090D">
        <w:rPr>
          <w:lang w:val="en-GB"/>
        </w:rPr>
        <w:t>These are non-public bodies that have a significant role throughout the application process.</w:t>
      </w:r>
      <w:r w:rsidR="00BC5105">
        <w:rPr>
          <w:lang w:val="en-GB"/>
        </w:rPr>
        <w:t xml:space="preserve"> </w:t>
      </w:r>
    </w:p>
    <w:p w14:paraId="49255C2C" w14:textId="77777777" w:rsidR="009F3432" w:rsidRDefault="009F3432" w:rsidP="003B3938">
      <w:pPr>
        <w:pStyle w:val="MBT"/>
        <w:rPr>
          <w:lang w:val="en-GB"/>
        </w:rPr>
      </w:pPr>
    </w:p>
    <w:p w14:paraId="562D0339" w14:textId="439F43EF" w:rsidR="00624033" w:rsidRDefault="00073BC0" w:rsidP="003B3938">
      <w:pPr>
        <w:pStyle w:val="MBT"/>
        <w:rPr>
          <w:lang w:val="en-GB"/>
        </w:rPr>
      </w:pPr>
      <w:r>
        <w:rPr>
          <w:lang w:val="en-GB"/>
        </w:rPr>
        <w:t>Regulation 12</w:t>
      </w:r>
      <w:r w:rsidR="00B1383B">
        <w:rPr>
          <w:lang w:val="en-GB"/>
        </w:rPr>
        <w:t>(1)</w:t>
      </w:r>
      <w:r>
        <w:rPr>
          <w:lang w:val="en-GB"/>
        </w:rPr>
        <w:t xml:space="preserve"> of LN 288/2015 requires individuals to authorise in such form as Identity Malta may require, a </w:t>
      </w:r>
      <w:r w:rsidRPr="00D46E25">
        <w:rPr>
          <w:b/>
          <w:lang w:val="en-GB"/>
        </w:rPr>
        <w:t>registered approved agent and/or registered accredited person</w:t>
      </w:r>
      <w:r>
        <w:rPr>
          <w:lang w:val="en-GB"/>
        </w:rPr>
        <w:t xml:space="preserve"> to act on his behalf in respect of all applications, correspondence, submissions, filings, declarations and notifications under the regulations. </w:t>
      </w:r>
      <w:r w:rsidR="00B1383B">
        <w:rPr>
          <w:lang w:val="en-GB"/>
        </w:rPr>
        <w:t>The said registered approved agent and/or registered accredited person must file these acts</w:t>
      </w:r>
      <w:r w:rsidR="00D42CEC">
        <w:rPr>
          <w:lang w:val="en-GB"/>
        </w:rPr>
        <w:t xml:space="preserve">, as </w:t>
      </w:r>
      <w:r w:rsidR="00D42CEC" w:rsidRPr="001427AF">
        <w:rPr>
          <w:b/>
          <w:lang w:val="en-GB"/>
        </w:rPr>
        <w:t>only they can submit applications</w:t>
      </w:r>
      <w:r w:rsidR="00D42CEC">
        <w:rPr>
          <w:lang w:val="en-GB"/>
        </w:rPr>
        <w:t xml:space="preserve">. </w:t>
      </w:r>
      <w:r w:rsidR="00594C82">
        <w:rPr>
          <w:lang w:val="en-GB"/>
        </w:rPr>
        <w:t>The MRVA does not have direct contact with the MRVP applicants – all contacts take place through these agents.</w:t>
      </w:r>
      <w:r w:rsidR="00594C82">
        <w:rPr>
          <w:rStyle w:val="FootnoteReference"/>
          <w:lang w:val="en-GB"/>
        </w:rPr>
        <w:footnoteReference w:id="75"/>
      </w:r>
      <w:r w:rsidR="00594C82">
        <w:rPr>
          <w:lang w:val="en-GB"/>
        </w:rPr>
        <w:t xml:space="preserve"> </w:t>
      </w:r>
    </w:p>
    <w:p w14:paraId="6FCFE0EC" w14:textId="77777777" w:rsidR="00624033" w:rsidRDefault="00624033" w:rsidP="003B3938">
      <w:pPr>
        <w:pStyle w:val="MBT"/>
        <w:rPr>
          <w:lang w:val="en-GB"/>
        </w:rPr>
      </w:pPr>
    </w:p>
    <w:p w14:paraId="767FDC89" w14:textId="5CBB88F2" w:rsidR="00CD2C31" w:rsidRDefault="007249A2" w:rsidP="003B3938">
      <w:pPr>
        <w:pStyle w:val="MBT"/>
        <w:rPr>
          <w:lang w:val="en-GB"/>
        </w:rPr>
      </w:pPr>
      <w:r>
        <w:rPr>
          <w:lang w:val="en-GB"/>
        </w:rPr>
        <w:t>Regulation 2 of LN 288/2015 defines ‘approved agent and, or accr</w:t>
      </w:r>
      <w:r w:rsidR="00CD2C31">
        <w:rPr>
          <w:lang w:val="en-GB"/>
        </w:rPr>
        <w:t>edited person’ as</w:t>
      </w:r>
      <w:r w:rsidR="00D46E25">
        <w:rPr>
          <w:lang w:val="en-GB"/>
        </w:rPr>
        <w:t xml:space="preserve"> a person who:</w:t>
      </w:r>
    </w:p>
    <w:p w14:paraId="21818ED2" w14:textId="77777777" w:rsidR="00884757" w:rsidRDefault="00884757" w:rsidP="003B3938">
      <w:pPr>
        <w:pStyle w:val="MBT"/>
        <w:rPr>
          <w:lang w:val="en-GB"/>
        </w:rPr>
      </w:pPr>
    </w:p>
    <w:p w14:paraId="7E3A9AAC" w14:textId="42ACA4A6" w:rsidR="00CD2C31" w:rsidRDefault="00C60062" w:rsidP="00745CB1">
      <w:pPr>
        <w:pStyle w:val="MBT"/>
        <w:numPr>
          <w:ilvl w:val="0"/>
          <w:numId w:val="19"/>
        </w:numPr>
        <w:rPr>
          <w:lang w:val="en-GB"/>
        </w:rPr>
      </w:pPr>
      <w:r>
        <w:rPr>
          <w:lang w:val="en-GB"/>
        </w:rPr>
        <w:t>Has</w:t>
      </w:r>
      <w:r w:rsidR="00CD2C31">
        <w:rPr>
          <w:lang w:val="en-GB"/>
        </w:rPr>
        <w:t xml:space="preserve"> a warrant to practice as an advocate</w:t>
      </w:r>
      <w:r>
        <w:rPr>
          <w:lang w:val="en-GB"/>
        </w:rPr>
        <w:t>, a legal procurator</w:t>
      </w:r>
      <w:r w:rsidR="00CD2C31">
        <w:rPr>
          <w:lang w:val="en-GB"/>
        </w:rPr>
        <w:t xml:space="preserve"> </w:t>
      </w:r>
      <w:r>
        <w:rPr>
          <w:lang w:val="en-GB"/>
        </w:rPr>
        <w:t>or an accountant;</w:t>
      </w:r>
    </w:p>
    <w:p w14:paraId="2F03F086" w14:textId="43BB5BD5" w:rsidR="00CD2C31" w:rsidRDefault="00C60062" w:rsidP="00745CB1">
      <w:pPr>
        <w:pStyle w:val="MBT"/>
        <w:numPr>
          <w:ilvl w:val="0"/>
          <w:numId w:val="19"/>
        </w:numPr>
        <w:rPr>
          <w:lang w:val="en-GB"/>
        </w:rPr>
      </w:pPr>
      <w:r>
        <w:rPr>
          <w:lang w:val="en-GB"/>
        </w:rPr>
        <w:t>Is an</w:t>
      </w:r>
      <w:r w:rsidR="00CD2C31">
        <w:rPr>
          <w:lang w:val="en-GB"/>
        </w:rPr>
        <w:t xml:space="preserve"> appointed notary public</w:t>
      </w:r>
      <w:r>
        <w:rPr>
          <w:lang w:val="en-GB"/>
        </w:rPr>
        <w:t>;</w:t>
      </w:r>
    </w:p>
    <w:p w14:paraId="56DEB0E4" w14:textId="7658334F" w:rsidR="009245F7" w:rsidRPr="00C60062" w:rsidRDefault="00C60062" w:rsidP="00C60062">
      <w:pPr>
        <w:pStyle w:val="MBT"/>
        <w:numPr>
          <w:ilvl w:val="0"/>
          <w:numId w:val="19"/>
        </w:numPr>
        <w:rPr>
          <w:lang w:val="en-GB"/>
        </w:rPr>
      </w:pPr>
      <w:r>
        <w:rPr>
          <w:lang w:val="en-GB"/>
        </w:rPr>
        <w:t>Is</w:t>
      </w:r>
      <w:r w:rsidR="009245F7">
        <w:rPr>
          <w:lang w:val="en-GB"/>
        </w:rPr>
        <w:t xml:space="preserve"> a member of the Malta Institute of Taxation</w:t>
      </w:r>
      <w:r>
        <w:rPr>
          <w:lang w:val="en-GB"/>
        </w:rPr>
        <w:t xml:space="preserve">, </w:t>
      </w:r>
      <w:r w:rsidR="009245F7" w:rsidRPr="00C60062">
        <w:rPr>
          <w:lang w:val="en-GB"/>
        </w:rPr>
        <w:t>the Malta Institute of Accountants</w:t>
      </w:r>
      <w:r>
        <w:rPr>
          <w:lang w:val="en-GB"/>
        </w:rPr>
        <w:t xml:space="preserve"> or </w:t>
      </w:r>
      <w:r w:rsidR="009245F7" w:rsidRPr="00C60062">
        <w:rPr>
          <w:lang w:val="en-GB"/>
        </w:rPr>
        <w:t xml:space="preserve">the Institute of </w:t>
      </w:r>
      <w:proofErr w:type="gramStart"/>
      <w:r w:rsidR="009245F7" w:rsidRPr="00C60062">
        <w:rPr>
          <w:lang w:val="en-GB"/>
        </w:rPr>
        <w:t>Management</w:t>
      </w:r>
      <w:r w:rsidR="002155B8">
        <w:rPr>
          <w:lang w:val="en-GB"/>
        </w:rPr>
        <w:t>.</w:t>
      </w:r>
      <w:proofErr w:type="gramEnd"/>
    </w:p>
    <w:p w14:paraId="654CF6C1" w14:textId="77777777" w:rsidR="009245F7" w:rsidRDefault="009245F7" w:rsidP="009245F7">
      <w:pPr>
        <w:pStyle w:val="MBT"/>
        <w:rPr>
          <w:lang w:val="en-GB"/>
        </w:rPr>
      </w:pPr>
    </w:p>
    <w:p w14:paraId="77D52473" w14:textId="77777777" w:rsidR="00987962" w:rsidRDefault="009245F7" w:rsidP="009245F7">
      <w:pPr>
        <w:pStyle w:val="MBT"/>
        <w:rPr>
          <w:lang w:val="en-GB"/>
        </w:rPr>
      </w:pPr>
      <w:r>
        <w:rPr>
          <w:lang w:val="en-GB"/>
        </w:rPr>
        <w:t xml:space="preserve">Legal persons having at least 75% of </w:t>
      </w:r>
      <w:r w:rsidR="00D46E25">
        <w:rPr>
          <w:lang w:val="en-GB"/>
        </w:rPr>
        <w:t>their</w:t>
      </w:r>
      <w:r>
        <w:rPr>
          <w:lang w:val="en-GB"/>
        </w:rPr>
        <w:t xml:space="preserve"> shareholders, partners or other members who have the warrants</w:t>
      </w:r>
      <w:r w:rsidR="002155B8">
        <w:rPr>
          <w:lang w:val="en-GB"/>
        </w:rPr>
        <w:t xml:space="preserve"> mentioned above</w:t>
      </w:r>
      <w:r>
        <w:rPr>
          <w:lang w:val="en-GB"/>
        </w:rPr>
        <w:t xml:space="preserve"> or are members of these institutes are also eligible to be an approved agent and/or accredited person. </w:t>
      </w:r>
    </w:p>
    <w:p w14:paraId="4169D015" w14:textId="77777777" w:rsidR="00987962" w:rsidRDefault="00987962" w:rsidP="009245F7">
      <w:pPr>
        <w:pStyle w:val="MBT"/>
        <w:rPr>
          <w:lang w:val="en-GB"/>
        </w:rPr>
      </w:pPr>
    </w:p>
    <w:p w14:paraId="7C1891B2" w14:textId="5D6AB21D" w:rsidR="005F1BE9" w:rsidRDefault="009245F7" w:rsidP="00D10627">
      <w:pPr>
        <w:pStyle w:val="MBT"/>
        <w:rPr>
          <w:lang w:val="en-GB"/>
        </w:rPr>
      </w:pPr>
      <w:r>
        <w:rPr>
          <w:lang w:val="en-GB"/>
        </w:rPr>
        <w:t>To act for the pu</w:t>
      </w:r>
      <w:r w:rsidR="00D46E25">
        <w:rPr>
          <w:lang w:val="en-GB"/>
        </w:rPr>
        <w:t>rposes of LN 288/2015, approved agents and accredited persons must</w:t>
      </w:r>
      <w:r>
        <w:rPr>
          <w:lang w:val="en-GB"/>
        </w:rPr>
        <w:t xml:space="preserve"> be registered. Regulation 2 of LN 288/2015 defines </w:t>
      </w:r>
      <w:r w:rsidR="007249A2">
        <w:rPr>
          <w:lang w:val="en-GB"/>
        </w:rPr>
        <w:t xml:space="preserve">‘registered approved agent </w:t>
      </w:r>
      <w:proofErr w:type="gramStart"/>
      <w:r w:rsidR="007249A2">
        <w:rPr>
          <w:lang w:val="en-GB"/>
        </w:rPr>
        <w:t xml:space="preserve">and, </w:t>
      </w:r>
      <w:r>
        <w:rPr>
          <w:lang w:val="en-GB"/>
        </w:rPr>
        <w:t>or</w:t>
      </w:r>
      <w:proofErr w:type="gramEnd"/>
      <w:r>
        <w:rPr>
          <w:lang w:val="en-GB"/>
        </w:rPr>
        <w:t xml:space="preserve"> registered accredited person’ as</w:t>
      </w:r>
      <w:r w:rsidR="007249A2">
        <w:rPr>
          <w:lang w:val="en-GB"/>
        </w:rPr>
        <w:t xml:space="preserve"> ‘a person or entity who has satisfied the criteria set by Identity Malta and which in any case is already registered as an authorised registered mandatory with the Inland Revenue Department or is already registered as an approved agent and, or registered as an accredited person with Identity Malta under any other scheme or regulation’. This means that agents registered for the purposes of Malta’s Individual Investor Programme</w:t>
      </w:r>
      <w:r w:rsidR="00A15182">
        <w:rPr>
          <w:lang w:val="en-GB"/>
        </w:rPr>
        <w:t xml:space="preserve"> </w:t>
      </w:r>
      <w:r w:rsidR="00D9383B">
        <w:rPr>
          <w:lang w:val="en-GB"/>
        </w:rPr>
        <w:t xml:space="preserve">(IIP) </w:t>
      </w:r>
      <w:r w:rsidR="00A15182">
        <w:rPr>
          <w:lang w:val="en-GB"/>
        </w:rPr>
        <w:t>through which third country nationals can obtain Maltese citizenship</w:t>
      </w:r>
      <w:r w:rsidR="007249A2">
        <w:rPr>
          <w:lang w:val="en-GB"/>
        </w:rPr>
        <w:t xml:space="preserve"> can also act on behalf of applicants under </w:t>
      </w:r>
      <w:r w:rsidR="007249A2" w:rsidRPr="005A08C5">
        <w:rPr>
          <w:lang w:val="en-GB"/>
        </w:rPr>
        <w:t xml:space="preserve">the </w:t>
      </w:r>
      <w:r w:rsidR="005A08C5">
        <w:rPr>
          <w:lang w:val="en-GB"/>
        </w:rPr>
        <w:t>MRVP.</w:t>
      </w:r>
      <w:r w:rsidR="00BC5105">
        <w:rPr>
          <w:lang w:val="en-GB"/>
        </w:rPr>
        <w:t xml:space="preserve"> </w:t>
      </w:r>
      <w:r w:rsidR="00D10627">
        <w:rPr>
          <w:lang w:val="en-GB"/>
        </w:rPr>
        <w:t xml:space="preserve"> In fact, r</w:t>
      </w:r>
      <w:r w:rsidR="00073BC0">
        <w:rPr>
          <w:lang w:val="en-GB"/>
        </w:rPr>
        <w:t xml:space="preserve">egistration is </w:t>
      </w:r>
      <w:r w:rsidR="006F5F06">
        <w:rPr>
          <w:lang w:val="en-GB"/>
        </w:rPr>
        <w:t xml:space="preserve">made by filling in and delivering </w:t>
      </w:r>
      <w:r w:rsidR="00D46E25">
        <w:rPr>
          <w:lang w:val="en-GB"/>
        </w:rPr>
        <w:t>the requisite form</w:t>
      </w:r>
      <w:r w:rsidR="006F5F06">
        <w:rPr>
          <w:lang w:val="en-GB"/>
        </w:rPr>
        <w:t xml:space="preserve"> </w:t>
      </w:r>
      <w:r w:rsidR="002155B8">
        <w:rPr>
          <w:lang w:val="en-GB"/>
        </w:rPr>
        <w:t xml:space="preserve">to Identity Malta </w:t>
      </w:r>
      <w:r w:rsidR="006F5F06">
        <w:rPr>
          <w:lang w:val="en-GB"/>
        </w:rPr>
        <w:t>and is subject to terms and conditions determined by Identity Malta</w:t>
      </w:r>
      <w:r w:rsidR="00D10627">
        <w:rPr>
          <w:lang w:val="en-GB"/>
        </w:rPr>
        <w:t xml:space="preserve"> (that is competent for the </w:t>
      </w:r>
      <w:r w:rsidR="00D9383B">
        <w:rPr>
          <w:lang w:val="en-GB"/>
        </w:rPr>
        <w:t>IIP</w:t>
      </w:r>
      <w:r w:rsidR="00D10627">
        <w:rPr>
          <w:lang w:val="en-GB"/>
        </w:rPr>
        <w:t>).</w:t>
      </w:r>
      <w:r w:rsidR="00D46E25">
        <w:rPr>
          <w:rStyle w:val="FootnoteReference"/>
          <w:lang w:val="en-GB"/>
        </w:rPr>
        <w:footnoteReference w:id="76"/>
      </w:r>
      <w:r w:rsidR="00D10627">
        <w:rPr>
          <w:lang w:val="en-GB"/>
        </w:rPr>
        <w:t xml:space="preserve"> Identity Malta must notify acceptance of the registration to the person </w:t>
      </w:r>
      <w:r w:rsidR="00D10627">
        <w:rPr>
          <w:lang w:val="en-GB"/>
        </w:rPr>
        <w:lastRenderedPageBreak/>
        <w:t>requesting it.</w:t>
      </w:r>
      <w:r w:rsidR="00D10627">
        <w:rPr>
          <w:rStyle w:val="FootnoteReference"/>
          <w:lang w:val="en-GB"/>
        </w:rPr>
        <w:footnoteReference w:id="77"/>
      </w:r>
      <w:r w:rsidR="00D10627">
        <w:rPr>
          <w:lang w:val="en-GB"/>
        </w:rPr>
        <w:t xml:space="preserve"> </w:t>
      </w:r>
    </w:p>
    <w:p w14:paraId="77A41E07" w14:textId="77777777" w:rsidR="000E7600" w:rsidRDefault="000E7600" w:rsidP="000E7600">
      <w:pPr>
        <w:pStyle w:val="MBT"/>
        <w:rPr>
          <w:lang w:val="en-GB"/>
        </w:rPr>
      </w:pPr>
    </w:p>
    <w:p w14:paraId="2D5ACA23" w14:textId="234AEA44" w:rsidR="006A43F4" w:rsidRDefault="000E7600" w:rsidP="000E7600">
      <w:pPr>
        <w:pStyle w:val="MBT"/>
        <w:rPr>
          <w:lang w:val="en-GB"/>
        </w:rPr>
      </w:pPr>
      <w:r>
        <w:rPr>
          <w:lang w:val="en-GB"/>
        </w:rPr>
        <w:t>The MRVA’s website states that the list of agents is available upon a request in writing.</w:t>
      </w:r>
      <w:r>
        <w:rPr>
          <w:rStyle w:val="FootnoteReference"/>
          <w:lang w:val="en-GB"/>
        </w:rPr>
        <w:footnoteReference w:id="78"/>
      </w:r>
      <w:r>
        <w:rPr>
          <w:lang w:val="en-GB"/>
        </w:rPr>
        <w:t xml:space="preserve"> </w:t>
      </w:r>
      <w:r w:rsidR="00EC06E8">
        <w:rPr>
          <w:lang w:val="en-GB"/>
        </w:rPr>
        <w:t xml:space="preserve"> </w:t>
      </w:r>
      <w:r w:rsidR="00EC06E8" w:rsidRPr="00C83D3F">
        <w:t xml:space="preserve">To date, the MRVA website is still temporary and contains very scarce information about the scheme and the agency, and a contact form: </w:t>
      </w:r>
      <w:hyperlink r:id="rId15" w:history="1">
        <w:r w:rsidR="00EC06E8" w:rsidRPr="00C83D3F">
          <w:rPr>
            <w:rStyle w:val="Hyperlink"/>
          </w:rPr>
          <w:t>https://www.maltaresidencevisaprogramme.com</w:t>
        </w:r>
      </w:hyperlink>
      <w:r w:rsidR="00EC06E8">
        <w:rPr>
          <w:lang w:val="en-GB"/>
        </w:rPr>
        <w:t>.</w:t>
      </w:r>
      <w:r w:rsidR="00EC06E8" w:rsidRPr="00C83D3F">
        <w:t xml:space="preserve"> </w:t>
      </w:r>
      <w:r>
        <w:rPr>
          <w:lang w:val="en-GB"/>
        </w:rPr>
        <w:t>On the other hand, t</w:t>
      </w:r>
      <w:r w:rsidRPr="00246791">
        <w:rPr>
          <w:lang w:val="en-GB"/>
        </w:rPr>
        <w:t xml:space="preserve">he list of </w:t>
      </w:r>
      <w:r>
        <w:rPr>
          <w:lang w:val="en-GB"/>
        </w:rPr>
        <w:t>a</w:t>
      </w:r>
      <w:r w:rsidRPr="00246791">
        <w:rPr>
          <w:lang w:val="en-GB"/>
        </w:rPr>
        <w:t xml:space="preserve">pproved </w:t>
      </w:r>
      <w:r>
        <w:rPr>
          <w:lang w:val="en-GB"/>
        </w:rPr>
        <w:t>a</w:t>
      </w:r>
      <w:r w:rsidRPr="00246791">
        <w:rPr>
          <w:lang w:val="en-GB"/>
        </w:rPr>
        <w:t xml:space="preserve">gents </w:t>
      </w:r>
      <w:r>
        <w:rPr>
          <w:lang w:val="en-GB"/>
        </w:rPr>
        <w:t xml:space="preserve">for the </w:t>
      </w:r>
      <w:r w:rsidR="006A43F4">
        <w:rPr>
          <w:lang w:val="en-GB"/>
        </w:rPr>
        <w:t>IIP</w:t>
      </w:r>
      <w:r>
        <w:rPr>
          <w:lang w:val="en-GB"/>
        </w:rPr>
        <w:t xml:space="preserve"> </w:t>
      </w:r>
      <w:r w:rsidRPr="00246791">
        <w:rPr>
          <w:lang w:val="en-GB"/>
        </w:rPr>
        <w:t xml:space="preserve">is available on Identity Malta’s website: </w:t>
      </w:r>
      <w:hyperlink r:id="rId16" w:history="1">
        <w:r w:rsidRPr="00246791">
          <w:rPr>
            <w:rStyle w:val="Hyperlink"/>
            <w:lang w:val="en-GB"/>
          </w:rPr>
          <w:t>http://iip.gov.mt/agents-list/</w:t>
        </w:r>
      </w:hyperlink>
      <w:r w:rsidRPr="00246791">
        <w:rPr>
          <w:lang w:val="en-GB"/>
        </w:rPr>
        <w:t xml:space="preserve">. As of March 2018, there are 168 </w:t>
      </w:r>
      <w:r>
        <w:rPr>
          <w:lang w:val="en-GB"/>
        </w:rPr>
        <w:t>a</w:t>
      </w:r>
      <w:r w:rsidRPr="00246791">
        <w:rPr>
          <w:lang w:val="en-GB"/>
        </w:rPr>
        <w:t xml:space="preserve">pproved </w:t>
      </w:r>
      <w:r>
        <w:rPr>
          <w:lang w:val="en-GB"/>
        </w:rPr>
        <w:t>a</w:t>
      </w:r>
      <w:r w:rsidRPr="00246791">
        <w:rPr>
          <w:lang w:val="en-GB"/>
        </w:rPr>
        <w:t>gents.</w:t>
      </w:r>
      <w:r>
        <w:rPr>
          <w:lang w:val="en-GB"/>
        </w:rPr>
        <w:t xml:space="preserve"> Currently, these agents act also on behalf of MRVP applicants. </w:t>
      </w:r>
    </w:p>
    <w:p w14:paraId="433707AF" w14:textId="77777777" w:rsidR="006A43F4" w:rsidRDefault="006A43F4" w:rsidP="000E7600">
      <w:pPr>
        <w:pStyle w:val="MBT"/>
        <w:rPr>
          <w:lang w:val="en-GB"/>
        </w:rPr>
      </w:pPr>
    </w:p>
    <w:p w14:paraId="6E20F8AA" w14:textId="7FD35A97" w:rsidR="000E7600" w:rsidRDefault="006A43F4" w:rsidP="000E7600">
      <w:pPr>
        <w:pStyle w:val="MBT"/>
        <w:rPr>
          <w:lang w:val="en-GB"/>
        </w:rPr>
      </w:pPr>
      <w:r w:rsidRPr="00850ED5">
        <w:rPr>
          <w:lang w:val="en-GB"/>
        </w:rPr>
        <w:t>The</w:t>
      </w:r>
      <w:r>
        <w:rPr>
          <w:lang w:val="en-GB"/>
        </w:rPr>
        <w:t xml:space="preserve"> terms and conditions for the purposes of the</w:t>
      </w:r>
      <w:r w:rsidRPr="00850ED5">
        <w:rPr>
          <w:lang w:val="en-GB"/>
        </w:rPr>
        <w:t xml:space="preserve"> </w:t>
      </w:r>
      <w:r w:rsidR="00C54A9A">
        <w:rPr>
          <w:lang w:val="en-GB"/>
        </w:rPr>
        <w:t>IIP</w:t>
      </w:r>
      <w:r>
        <w:rPr>
          <w:lang w:val="en-GB"/>
        </w:rPr>
        <w:t xml:space="preserve"> are set out in the ‘</w:t>
      </w:r>
      <w:r w:rsidRPr="00850ED5">
        <w:rPr>
          <w:lang w:val="en-GB"/>
        </w:rPr>
        <w:t>Accredited Person – Code of Conduct</w:t>
      </w:r>
      <w:r>
        <w:rPr>
          <w:lang w:val="en-GB"/>
        </w:rPr>
        <w:t>’. The Code</w:t>
      </w:r>
      <w:r w:rsidRPr="00850ED5">
        <w:rPr>
          <w:lang w:val="en-GB"/>
        </w:rPr>
        <w:t xml:space="preserve"> lists failure to report sub agents/sources as well as withdrawal from membership of professional associations</w:t>
      </w:r>
      <w:r>
        <w:rPr>
          <w:lang w:val="en-GB"/>
        </w:rPr>
        <w:t xml:space="preserve"> as grounds for revocation of the licence.</w:t>
      </w:r>
      <w:r>
        <w:rPr>
          <w:rStyle w:val="FootnoteReference"/>
          <w:lang w:val="en-GB"/>
        </w:rPr>
        <w:footnoteReference w:id="79"/>
      </w:r>
      <w:r>
        <w:rPr>
          <w:lang w:val="en-GB"/>
        </w:rPr>
        <w:t xml:space="preserve"> The Code of Conduct also sets the standards and labels that agents are bound by, particularly in terms of how the programme is referred to for marketing </w:t>
      </w:r>
      <w:proofErr w:type="gramStart"/>
      <w:r>
        <w:rPr>
          <w:lang w:val="en-GB"/>
        </w:rPr>
        <w:t>purposes</w:t>
      </w:r>
      <w:r w:rsidR="00C54A9A">
        <w:rPr>
          <w:lang w:val="en-GB"/>
        </w:rPr>
        <w:t>,</w:t>
      </w:r>
      <w:r w:rsidR="00C54A9A" w:rsidRPr="00C54A9A">
        <w:rPr>
          <w:lang w:val="en-GB"/>
        </w:rPr>
        <w:t xml:space="preserve"> </w:t>
      </w:r>
      <w:r w:rsidR="00C54A9A">
        <w:rPr>
          <w:lang w:val="en-GB"/>
        </w:rPr>
        <w:t>and</w:t>
      </w:r>
      <w:proofErr w:type="gramEnd"/>
      <w:r w:rsidR="00C54A9A">
        <w:rPr>
          <w:lang w:val="en-GB"/>
        </w:rPr>
        <w:t xml:space="preserve"> stipulates the exact labelling of the different elements of the pecuniary contributio</w:t>
      </w:r>
      <w:r w:rsidR="00356C16">
        <w:rPr>
          <w:lang w:val="en-GB"/>
        </w:rPr>
        <w:t>n</w:t>
      </w:r>
      <w:r>
        <w:rPr>
          <w:lang w:val="en-GB"/>
        </w:rPr>
        <w:t>.</w:t>
      </w:r>
      <w:r>
        <w:rPr>
          <w:rStyle w:val="FootnoteReference"/>
          <w:lang w:val="en-GB"/>
        </w:rPr>
        <w:footnoteReference w:id="80"/>
      </w:r>
      <w:r>
        <w:rPr>
          <w:lang w:val="en-GB"/>
        </w:rPr>
        <w:t xml:space="preserve"> There is no such Code for MRVA agents. However, since IIP agents can also act as MRVA agents, the same Code presumably applies. </w:t>
      </w:r>
      <w:r w:rsidR="000E7600">
        <w:rPr>
          <w:lang w:val="en-GB"/>
        </w:rPr>
        <w:t>The MRVA plans to establish its own list of agents.</w:t>
      </w:r>
      <w:r w:rsidR="000E7600">
        <w:rPr>
          <w:rStyle w:val="FootnoteReference"/>
          <w:lang w:val="en-GB"/>
        </w:rPr>
        <w:footnoteReference w:id="81"/>
      </w:r>
    </w:p>
    <w:p w14:paraId="01F070FF" w14:textId="77777777" w:rsidR="000E7600" w:rsidRDefault="000E7600" w:rsidP="000E7600">
      <w:pPr>
        <w:pStyle w:val="MBT"/>
        <w:rPr>
          <w:lang w:val="en-GB"/>
        </w:rPr>
      </w:pPr>
    </w:p>
    <w:p w14:paraId="002B9506" w14:textId="77777777" w:rsidR="000E7600" w:rsidRDefault="000E7600" w:rsidP="000E7600">
      <w:pPr>
        <w:pStyle w:val="MBT"/>
        <w:rPr>
          <w:lang w:val="en-GB"/>
        </w:rPr>
      </w:pPr>
      <w:r>
        <w:rPr>
          <w:lang w:val="en-GB"/>
        </w:rPr>
        <w:t>Approved agents and accredited persons can cancel their registration by submitting a request to Identity Malta.</w:t>
      </w:r>
      <w:r>
        <w:rPr>
          <w:rStyle w:val="FootnoteReference"/>
          <w:lang w:val="en-GB"/>
        </w:rPr>
        <w:footnoteReference w:id="82"/>
      </w:r>
      <w:r>
        <w:rPr>
          <w:lang w:val="en-GB"/>
        </w:rPr>
        <w:t xml:space="preserve"> In addition, Identity Malta can terminate the appointment of a registered approved agent or accredited person if s/he repeatedly fails to carry out a function required under LN 288/2015.</w:t>
      </w:r>
      <w:r>
        <w:rPr>
          <w:rStyle w:val="FootnoteReference"/>
          <w:lang w:val="en-GB"/>
        </w:rPr>
        <w:footnoteReference w:id="83"/>
      </w:r>
    </w:p>
    <w:p w14:paraId="03FC30B2" w14:textId="77777777" w:rsidR="000E7600" w:rsidRDefault="000E7600" w:rsidP="000E7600">
      <w:pPr>
        <w:pStyle w:val="MBT"/>
        <w:rPr>
          <w:lang w:val="en-GB"/>
        </w:rPr>
      </w:pPr>
    </w:p>
    <w:p w14:paraId="528DA6EA" w14:textId="77777777" w:rsidR="000E7600" w:rsidRDefault="000E7600" w:rsidP="000E7600">
      <w:pPr>
        <w:pStyle w:val="MBT"/>
        <w:rPr>
          <w:lang w:val="en-GB"/>
        </w:rPr>
      </w:pPr>
      <w:r>
        <w:rPr>
          <w:lang w:val="en-GB"/>
        </w:rPr>
        <w:t>Approved agents can be certified to promote the programme in specific regions, but they can submit applications from nationals of any country.</w:t>
      </w:r>
      <w:r>
        <w:rPr>
          <w:rStyle w:val="FootnoteReference"/>
          <w:lang w:val="en-GB"/>
        </w:rPr>
        <w:footnoteReference w:id="84"/>
      </w:r>
      <w:r>
        <w:rPr>
          <w:lang w:val="en-GB"/>
        </w:rPr>
        <w:t xml:space="preserve"> One of the accredited agents, Discus Holding Limited, has published on its website the Certificate of Accreditation for MRVP issued by Identity Malta. The certificate attests that the company ‘is entrusted with the marketing and promotion of the Malta Residence Visa Programme in the following regions: The Republic of Turkey; The Russian Federation’.</w:t>
      </w:r>
      <w:r>
        <w:rPr>
          <w:rStyle w:val="FootnoteReference"/>
          <w:lang w:val="en-GB"/>
        </w:rPr>
        <w:footnoteReference w:id="85"/>
      </w:r>
      <w:r>
        <w:rPr>
          <w:lang w:val="en-GB"/>
        </w:rPr>
        <w:t xml:space="preserve"> </w:t>
      </w:r>
    </w:p>
    <w:p w14:paraId="0450D445" w14:textId="77777777" w:rsidR="006F5F06" w:rsidRDefault="006F5F06" w:rsidP="000C462C">
      <w:pPr>
        <w:pStyle w:val="MBT"/>
        <w:rPr>
          <w:lang w:val="en-GB"/>
        </w:rPr>
      </w:pPr>
    </w:p>
    <w:p w14:paraId="1B21AEB8" w14:textId="1A8C9BCC" w:rsidR="006F5F06" w:rsidRDefault="00BF3DBD" w:rsidP="000C462C">
      <w:pPr>
        <w:pStyle w:val="MBT"/>
        <w:rPr>
          <w:lang w:val="en-GB"/>
        </w:rPr>
      </w:pPr>
      <w:r>
        <w:rPr>
          <w:lang w:val="en-GB"/>
        </w:rPr>
        <w:t xml:space="preserve">In accordance with Regulation 12(9) of LN 288/2015, </w:t>
      </w:r>
      <w:r w:rsidR="006F5F06">
        <w:rPr>
          <w:lang w:val="en-GB"/>
        </w:rPr>
        <w:t>Identity Malta may, by notice issued from time to time, prescribe that a portion of the contr</w:t>
      </w:r>
      <w:r w:rsidR="00D46E25">
        <w:rPr>
          <w:lang w:val="en-GB"/>
        </w:rPr>
        <w:t xml:space="preserve">ibution paid by an applicant </w:t>
      </w:r>
      <w:r w:rsidR="006F5F06">
        <w:rPr>
          <w:lang w:val="en-GB"/>
        </w:rPr>
        <w:t xml:space="preserve">be paid to the approved agent and/or accredited person appointed by the applicant. </w:t>
      </w:r>
      <w:r w:rsidR="00E84CDA">
        <w:rPr>
          <w:lang w:val="en-GB"/>
        </w:rPr>
        <w:t>Th</w:t>
      </w:r>
      <w:r w:rsidR="006F5F06">
        <w:rPr>
          <w:lang w:val="en-GB"/>
        </w:rPr>
        <w:t>is portion cannot exceed ten percent of the contribution payable.</w:t>
      </w:r>
      <w:r w:rsidR="001B68AD">
        <w:rPr>
          <w:lang w:val="en-GB"/>
        </w:rPr>
        <w:t xml:space="preserve"> To date, there is no such notice in force and agents’ fees are determined solely on the basis of agreement between agents and their clients.</w:t>
      </w:r>
      <w:r w:rsidR="001B68AD">
        <w:rPr>
          <w:rStyle w:val="FootnoteReference"/>
          <w:lang w:val="en-GB"/>
        </w:rPr>
        <w:footnoteReference w:id="86"/>
      </w:r>
    </w:p>
    <w:p w14:paraId="5B69CD5A" w14:textId="080D542E" w:rsidR="00A50FB6" w:rsidRDefault="00A50FB6" w:rsidP="000C462C">
      <w:pPr>
        <w:pStyle w:val="MBT"/>
        <w:rPr>
          <w:lang w:val="en-GB"/>
        </w:rPr>
      </w:pPr>
    </w:p>
    <w:p w14:paraId="31F2C609" w14:textId="6F55FFDD" w:rsidR="00C16245" w:rsidRPr="000112D6" w:rsidRDefault="00C16245" w:rsidP="00346D85">
      <w:pPr>
        <w:pStyle w:val="MBT"/>
        <w:numPr>
          <w:ilvl w:val="0"/>
          <w:numId w:val="34"/>
        </w:numPr>
        <w:rPr>
          <w:b/>
          <w:lang w:val="en-GB"/>
        </w:rPr>
      </w:pPr>
      <w:r w:rsidRPr="000112D6">
        <w:rPr>
          <w:b/>
          <w:lang w:val="en-GB"/>
        </w:rPr>
        <w:t>GRP</w:t>
      </w:r>
    </w:p>
    <w:p w14:paraId="67D93956" w14:textId="6A8784AD" w:rsidR="003B3938" w:rsidRDefault="003B3938" w:rsidP="000C462C">
      <w:pPr>
        <w:pStyle w:val="MBT"/>
        <w:rPr>
          <w:lang w:val="en-GB"/>
        </w:rPr>
      </w:pPr>
    </w:p>
    <w:p w14:paraId="274FF1AC" w14:textId="6725C203" w:rsidR="009F1716" w:rsidRDefault="009F1716" w:rsidP="009F1716">
      <w:pPr>
        <w:pStyle w:val="MBT"/>
        <w:rPr>
          <w:lang w:val="en-GB"/>
        </w:rPr>
      </w:pPr>
      <w:r>
        <w:rPr>
          <w:lang w:val="en-GB"/>
        </w:rPr>
        <w:t>The competent authority</w:t>
      </w:r>
      <w:r w:rsidR="00C61383">
        <w:rPr>
          <w:lang w:val="en-GB"/>
        </w:rPr>
        <w:t xml:space="preserve"> for the GRP</w:t>
      </w:r>
      <w:r>
        <w:rPr>
          <w:lang w:val="en-GB"/>
        </w:rPr>
        <w:t xml:space="preserve"> is the </w:t>
      </w:r>
      <w:r>
        <w:rPr>
          <w:b/>
          <w:lang w:val="en-GB"/>
        </w:rPr>
        <w:t>Commissioner for Revenue</w:t>
      </w:r>
      <w:r>
        <w:rPr>
          <w:lang w:val="en-GB"/>
        </w:rPr>
        <w:t xml:space="preserve">. </w:t>
      </w:r>
    </w:p>
    <w:p w14:paraId="62623F8D" w14:textId="77777777" w:rsidR="009F1716" w:rsidRDefault="009F1716" w:rsidP="009F1716">
      <w:pPr>
        <w:pStyle w:val="MBT"/>
        <w:rPr>
          <w:lang w:val="en-GB"/>
        </w:rPr>
      </w:pPr>
    </w:p>
    <w:p w14:paraId="0022532B" w14:textId="663DCF5F" w:rsidR="009F1716" w:rsidRDefault="009F1716" w:rsidP="009F1716">
      <w:pPr>
        <w:pStyle w:val="MBT"/>
        <w:rPr>
          <w:lang w:val="en-GB"/>
        </w:rPr>
      </w:pPr>
      <w:r>
        <w:rPr>
          <w:lang w:val="en-GB"/>
        </w:rPr>
        <w:t>The Commissioner for Revenue’s role in the application process is described in point 1.1 above.</w:t>
      </w:r>
    </w:p>
    <w:p w14:paraId="6C495CD4" w14:textId="50E51AE5" w:rsidR="009F1716" w:rsidRDefault="009F1716" w:rsidP="009F1716">
      <w:pPr>
        <w:pStyle w:val="MBT"/>
        <w:rPr>
          <w:lang w:val="en-GB"/>
        </w:rPr>
      </w:pPr>
    </w:p>
    <w:p w14:paraId="3B9F2ED2" w14:textId="0250DF24" w:rsidR="009F1716" w:rsidRPr="0044090D" w:rsidRDefault="004C7C15" w:rsidP="009F1716">
      <w:pPr>
        <w:pStyle w:val="MBT"/>
        <w:rPr>
          <w:lang w:val="en-GB"/>
        </w:rPr>
      </w:pPr>
      <w:r>
        <w:rPr>
          <w:lang w:val="en-GB"/>
        </w:rPr>
        <w:t>As with the MRVP, n</w:t>
      </w:r>
      <w:r w:rsidRPr="0044090D">
        <w:rPr>
          <w:lang w:val="en-GB"/>
        </w:rPr>
        <w:t>on-public bodies have a significant role throughout the application process</w:t>
      </w:r>
      <w:r>
        <w:rPr>
          <w:lang w:val="en-GB"/>
        </w:rPr>
        <w:t xml:space="preserve"> as GRP a</w:t>
      </w:r>
      <w:r w:rsidR="009F1716">
        <w:rPr>
          <w:lang w:val="en-GB"/>
        </w:rPr>
        <w:t>pplications must be submitted to the Commissioner for Revenue through authorised registered mandatories.</w:t>
      </w:r>
      <w:r w:rsidR="009F1716">
        <w:rPr>
          <w:rStyle w:val="FootnoteReference"/>
          <w:lang w:val="en-GB"/>
        </w:rPr>
        <w:footnoteReference w:id="87"/>
      </w:r>
      <w:r w:rsidR="009F1716">
        <w:rPr>
          <w:lang w:val="en-GB"/>
        </w:rPr>
        <w:t xml:space="preserve"> </w:t>
      </w:r>
    </w:p>
    <w:p w14:paraId="64D3F70B" w14:textId="77777777" w:rsidR="009F1716" w:rsidRDefault="009F1716" w:rsidP="009F1716">
      <w:pPr>
        <w:pStyle w:val="MBT"/>
        <w:rPr>
          <w:lang w:val="en-GB"/>
        </w:rPr>
      </w:pPr>
    </w:p>
    <w:p w14:paraId="40104F29" w14:textId="40581DB7" w:rsidR="009F1716" w:rsidRDefault="009F1716" w:rsidP="009F1716">
      <w:pPr>
        <w:pStyle w:val="MBT"/>
        <w:rPr>
          <w:lang w:val="en-GB"/>
        </w:rPr>
      </w:pPr>
      <w:r>
        <w:rPr>
          <w:lang w:val="en-GB"/>
        </w:rPr>
        <w:t xml:space="preserve">Rule 10(1) of LN 167/2013 requires individuals to authorise, an </w:t>
      </w:r>
      <w:r>
        <w:rPr>
          <w:b/>
          <w:lang w:val="en-GB"/>
        </w:rPr>
        <w:t>authorised registered mandatory</w:t>
      </w:r>
      <w:r>
        <w:rPr>
          <w:lang w:val="en-GB"/>
        </w:rPr>
        <w:t xml:space="preserve"> to act on their behalf in respect of all applications, correspondence, submissions, filings, declarations and notifications under the GRP rules. As with registered approved agents and/or registered accredited persons under the MRVP, for the purposes of GRP applications</w:t>
      </w:r>
      <w:r w:rsidR="004C7C15">
        <w:rPr>
          <w:lang w:val="en-GB"/>
        </w:rPr>
        <w:t xml:space="preserve"> it</w:t>
      </w:r>
      <w:r w:rsidR="00884757">
        <w:rPr>
          <w:lang w:val="en-GB"/>
        </w:rPr>
        <w:t xml:space="preserve"> is authorised registered mandatories</w:t>
      </w:r>
      <w:r>
        <w:rPr>
          <w:lang w:val="en-GB"/>
        </w:rPr>
        <w:t xml:space="preserve"> that must file these acts, as </w:t>
      </w:r>
      <w:r w:rsidRPr="001427AF">
        <w:rPr>
          <w:b/>
          <w:lang w:val="en-GB"/>
        </w:rPr>
        <w:t>only they can submit applications</w:t>
      </w:r>
      <w:r>
        <w:rPr>
          <w:lang w:val="en-GB"/>
        </w:rPr>
        <w:t xml:space="preserve">. </w:t>
      </w:r>
      <w:r w:rsidR="00B5305A">
        <w:rPr>
          <w:lang w:val="en-GB"/>
        </w:rPr>
        <w:t>Similar to</w:t>
      </w:r>
      <w:r>
        <w:rPr>
          <w:lang w:val="en-GB"/>
        </w:rPr>
        <w:t xml:space="preserve"> the MRVA, the Commissioner for Revenue, does not have direct contact with the GRP applicants – all contacts take place through these mandatories.</w:t>
      </w:r>
      <w:r w:rsidR="008F12B9">
        <w:t xml:space="preserve"> Unl</w:t>
      </w:r>
      <w:r w:rsidR="00BB3168">
        <w:t xml:space="preserve">ess the Commissioner for Revenue specifically </w:t>
      </w:r>
      <w:proofErr w:type="spellStart"/>
      <w:r w:rsidR="004C7C15">
        <w:t>authori</w:t>
      </w:r>
      <w:r w:rsidR="00C4365A">
        <w:t>s</w:t>
      </w:r>
      <w:r w:rsidR="004C7C15">
        <w:t>es</w:t>
      </w:r>
      <w:proofErr w:type="spellEnd"/>
      <w:r w:rsidR="004C7C15">
        <w:t xml:space="preserve"> this</w:t>
      </w:r>
      <w:r w:rsidR="00BB3168">
        <w:t xml:space="preserve"> in </w:t>
      </w:r>
      <w:r w:rsidR="008F12B9">
        <w:t>writing</w:t>
      </w:r>
      <w:r w:rsidR="00BB3168">
        <w:t xml:space="preserve">, a person may not </w:t>
      </w:r>
      <w:proofErr w:type="spellStart"/>
      <w:r w:rsidR="00BB3168">
        <w:t>auth</w:t>
      </w:r>
      <w:r w:rsidR="008F12B9">
        <w:t>orise</w:t>
      </w:r>
      <w:proofErr w:type="spellEnd"/>
      <w:r w:rsidR="008F12B9">
        <w:t xml:space="preserve"> mo</w:t>
      </w:r>
      <w:r w:rsidR="00BB3168">
        <w:t xml:space="preserve">re than one </w:t>
      </w:r>
      <w:proofErr w:type="spellStart"/>
      <w:r w:rsidR="00BB3168">
        <w:t>authorised</w:t>
      </w:r>
      <w:proofErr w:type="spellEnd"/>
      <w:r w:rsidR="00BB3168">
        <w:t xml:space="preserve"> mandatory.</w:t>
      </w:r>
      <w:r w:rsidR="00BB3168">
        <w:rPr>
          <w:rStyle w:val="FootnoteReference"/>
        </w:rPr>
        <w:footnoteReference w:id="88"/>
      </w:r>
    </w:p>
    <w:p w14:paraId="4CB9BFAB" w14:textId="77777777" w:rsidR="009F1716" w:rsidRDefault="009F1716" w:rsidP="009F1716">
      <w:pPr>
        <w:pStyle w:val="MBT"/>
        <w:rPr>
          <w:lang w:val="en-GB"/>
        </w:rPr>
      </w:pPr>
    </w:p>
    <w:p w14:paraId="0CFAF2EB" w14:textId="0F78DB29" w:rsidR="009F1716" w:rsidRDefault="009F1716" w:rsidP="009F1716">
      <w:pPr>
        <w:pStyle w:val="MBT"/>
        <w:rPr>
          <w:lang w:val="en-GB"/>
        </w:rPr>
      </w:pPr>
      <w:r>
        <w:rPr>
          <w:lang w:val="en-GB"/>
        </w:rPr>
        <w:t>R</w:t>
      </w:r>
      <w:r w:rsidR="00BB3168">
        <w:rPr>
          <w:lang w:val="en-GB"/>
        </w:rPr>
        <w:t>ule</w:t>
      </w:r>
      <w:r>
        <w:rPr>
          <w:lang w:val="en-GB"/>
        </w:rPr>
        <w:t xml:space="preserve"> 2 of LN </w:t>
      </w:r>
      <w:r w:rsidR="00BB3168">
        <w:rPr>
          <w:lang w:val="en-GB"/>
        </w:rPr>
        <w:t>167/2013</w:t>
      </w:r>
      <w:r>
        <w:rPr>
          <w:lang w:val="en-GB"/>
        </w:rPr>
        <w:t xml:space="preserve"> defines ‘</w:t>
      </w:r>
      <w:r w:rsidR="00BB3168">
        <w:rPr>
          <w:lang w:val="en-GB"/>
        </w:rPr>
        <w:t>authorised mandatory</w:t>
      </w:r>
      <w:r>
        <w:rPr>
          <w:lang w:val="en-GB"/>
        </w:rPr>
        <w:t xml:space="preserve">’ </w:t>
      </w:r>
      <w:r w:rsidR="00BB3168">
        <w:rPr>
          <w:lang w:val="en-GB"/>
        </w:rPr>
        <w:t xml:space="preserve">in very similar terms to the definition of ‘approved agent and, or accredited person’ under Regulation 2 of LN 288/2015 </w:t>
      </w:r>
      <w:r>
        <w:rPr>
          <w:lang w:val="en-GB"/>
        </w:rPr>
        <w:t>as a person who:</w:t>
      </w:r>
    </w:p>
    <w:p w14:paraId="2A7C7A07" w14:textId="77777777" w:rsidR="00884757" w:rsidRDefault="00884757" w:rsidP="009F1716">
      <w:pPr>
        <w:pStyle w:val="MBT"/>
        <w:rPr>
          <w:lang w:val="en-GB"/>
        </w:rPr>
      </w:pPr>
    </w:p>
    <w:p w14:paraId="1245D526" w14:textId="77777777" w:rsidR="009F1716" w:rsidRDefault="009F1716" w:rsidP="009F1716">
      <w:pPr>
        <w:pStyle w:val="MBT"/>
        <w:numPr>
          <w:ilvl w:val="0"/>
          <w:numId w:val="19"/>
        </w:numPr>
        <w:rPr>
          <w:lang w:val="en-GB"/>
        </w:rPr>
      </w:pPr>
      <w:r>
        <w:rPr>
          <w:lang w:val="en-GB"/>
        </w:rPr>
        <w:t>Has a warrant to practice as an advocate, a legal procurator or an accountant;</w:t>
      </w:r>
    </w:p>
    <w:p w14:paraId="1C0ED9FD" w14:textId="77777777" w:rsidR="009F1716" w:rsidRDefault="009F1716" w:rsidP="009F1716">
      <w:pPr>
        <w:pStyle w:val="MBT"/>
        <w:numPr>
          <w:ilvl w:val="0"/>
          <w:numId w:val="19"/>
        </w:numPr>
        <w:rPr>
          <w:lang w:val="en-GB"/>
        </w:rPr>
      </w:pPr>
      <w:r>
        <w:rPr>
          <w:lang w:val="en-GB"/>
        </w:rPr>
        <w:t>Is an appointed notary public;</w:t>
      </w:r>
    </w:p>
    <w:p w14:paraId="00CD87D2" w14:textId="59A77205" w:rsidR="009F1716" w:rsidRPr="00C60062" w:rsidRDefault="009F1716" w:rsidP="009F1716">
      <w:pPr>
        <w:pStyle w:val="MBT"/>
        <w:numPr>
          <w:ilvl w:val="0"/>
          <w:numId w:val="19"/>
        </w:numPr>
        <w:rPr>
          <w:lang w:val="en-GB"/>
        </w:rPr>
      </w:pPr>
      <w:r>
        <w:rPr>
          <w:lang w:val="en-GB"/>
        </w:rPr>
        <w:t xml:space="preserve">Is a member of the </w:t>
      </w:r>
      <w:r w:rsidR="00BB3168">
        <w:rPr>
          <w:lang w:val="en-GB"/>
        </w:rPr>
        <w:t xml:space="preserve">Institute of Financial Services Practitioners, </w:t>
      </w:r>
      <w:r>
        <w:rPr>
          <w:lang w:val="en-GB"/>
        </w:rPr>
        <w:t xml:space="preserve">Malta Institute of Taxation, </w:t>
      </w:r>
      <w:r w:rsidRPr="00C60062">
        <w:rPr>
          <w:lang w:val="en-GB"/>
        </w:rPr>
        <w:t>the Malta Institute of Accountants</w:t>
      </w:r>
      <w:r>
        <w:rPr>
          <w:lang w:val="en-GB"/>
        </w:rPr>
        <w:t xml:space="preserve"> or </w:t>
      </w:r>
      <w:r w:rsidRPr="00C60062">
        <w:rPr>
          <w:lang w:val="en-GB"/>
        </w:rPr>
        <w:t xml:space="preserve">the Institute of </w:t>
      </w:r>
      <w:proofErr w:type="gramStart"/>
      <w:r w:rsidRPr="00C60062">
        <w:rPr>
          <w:lang w:val="en-GB"/>
        </w:rPr>
        <w:t>Management</w:t>
      </w:r>
      <w:r>
        <w:rPr>
          <w:lang w:val="en-GB"/>
        </w:rPr>
        <w:t>.</w:t>
      </w:r>
      <w:proofErr w:type="gramEnd"/>
    </w:p>
    <w:p w14:paraId="04C57D56" w14:textId="7BC35056" w:rsidR="00BB3168" w:rsidRDefault="00BB3168" w:rsidP="009F1716">
      <w:pPr>
        <w:pStyle w:val="MBT"/>
        <w:rPr>
          <w:lang w:val="en-GB"/>
        </w:rPr>
      </w:pPr>
    </w:p>
    <w:p w14:paraId="1E1DC056" w14:textId="2E1DFB37" w:rsidR="009F1716" w:rsidRDefault="009F1716" w:rsidP="009F1716">
      <w:pPr>
        <w:pStyle w:val="MBT"/>
        <w:rPr>
          <w:lang w:val="en-GB"/>
        </w:rPr>
      </w:pPr>
      <w:r>
        <w:rPr>
          <w:lang w:val="en-GB"/>
        </w:rPr>
        <w:t xml:space="preserve">Legal persons having at least 75% of their shareholders, partners or other members who have the warrants mentioned above or are members of these institutes are also eligible </w:t>
      </w:r>
      <w:r w:rsidR="00BB3168">
        <w:rPr>
          <w:lang w:val="en-GB"/>
        </w:rPr>
        <w:t>as authorised mandatories.</w:t>
      </w:r>
    </w:p>
    <w:p w14:paraId="766874FC" w14:textId="77777777" w:rsidR="009F1716" w:rsidRDefault="009F1716" w:rsidP="009F1716">
      <w:pPr>
        <w:pStyle w:val="MBT"/>
        <w:rPr>
          <w:lang w:val="en-GB"/>
        </w:rPr>
      </w:pPr>
    </w:p>
    <w:p w14:paraId="205CEE45" w14:textId="0371AC45" w:rsidR="009F1716" w:rsidRDefault="009F1716" w:rsidP="009F1716">
      <w:pPr>
        <w:pStyle w:val="MBT"/>
        <w:rPr>
          <w:lang w:val="en-GB"/>
        </w:rPr>
      </w:pPr>
      <w:r>
        <w:rPr>
          <w:lang w:val="en-GB"/>
        </w:rPr>
        <w:t xml:space="preserve">To act for the purposes of LN </w:t>
      </w:r>
      <w:r w:rsidR="00BB3168">
        <w:rPr>
          <w:lang w:val="en-GB"/>
        </w:rPr>
        <w:t>167/2013</w:t>
      </w:r>
      <w:r>
        <w:rPr>
          <w:lang w:val="en-GB"/>
        </w:rPr>
        <w:t xml:space="preserve">, </w:t>
      </w:r>
      <w:r w:rsidR="00BB3168">
        <w:rPr>
          <w:lang w:val="en-GB"/>
        </w:rPr>
        <w:t>authorised mandatories</w:t>
      </w:r>
      <w:r>
        <w:rPr>
          <w:lang w:val="en-GB"/>
        </w:rPr>
        <w:t xml:space="preserve"> must be registered</w:t>
      </w:r>
      <w:r w:rsidR="00BB3168">
        <w:rPr>
          <w:lang w:val="en-GB"/>
        </w:rPr>
        <w:t xml:space="preserve"> with the Commissioner for Revenue by filling in and delivering a form to the Commissioner for Revenue</w:t>
      </w:r>
      <w:r>
        <w:rPr>
          <w:lang w:val="en-GB"/>
        </w:rPr>
        <w:t>.</w:t>
      </w:r>
      <w:r w:rsidR="00BB3168">
        <w:rPr>
          <w:rStyle w:val="FootnoteReference"/>
          <w:lang w:val="en-GB"/>
        </w:rPr>
        <w:footnoteReference w:id="89"/>
      </w:r>
      <w:r>
        <w:rPr>
          <w:lang w:val="en-GB"/>
        </w:rPr>
        <w:t xml:space="preserve"> </w:t>
      </w:r>
      <w:r w:rsidR="00BB3168">
        <w:rPr>
          <w:lang w:val="en-GB"/>
        </w:rPr>
        <w:t xml:space="preserve"> Registration is subject to terms and conditions determined by </w:t>
      </w:r>
      <w:r w:rsidR="004C7C15">
        <w:rPr>
          <w:lang w:val="en-GB"/>
        </w:rPr>
        <w:t xml:space="preserve">the Commissioner for Revenue </w:t>
      </w:r>
      <w:r w:rsidR="00BB3168">
        <w:rPr>
          <w:lang w:val="en-GB"/>
        </w:rPr>
        <w:t>and acceptance of the registration must be notified by the Commissioner for Revenue to the person requesting registration.</w:t>
      </w:r>
      <w:r w:rsidR="00BB3168">
        <w:rPr>
          <w:rStyle w:val="FootnoteReference"/>
          <w:lang w:val="en-GB"/>
        </w:rPr>
        <w:footnoteReference w:id="90"/>
      </w:r>
      <w:r w:rsidR="00BB3168">
        <w:rPr>
          <w:lang w:val="en-GB"/>
        </w:rPr>
        <w:t xml:space="preserve"> </w:t>
      </w:r>
    </w:p>
    <w:p w14:paraId="3681DE4A" w14:textId="2F397E12" w:rsidR="003A0B61" w:rsidRDefault="003A0B61" w:rsidP="009F1716">
      <w:pPr>
        <w:pStyle w:val="MBT"/>
        <w:rPr>
          <w:lang w:val="en-GB"/>
        </w:rPr>
      </w:pPr>
    </w:p>
    <w:p w14:paraId="46DB6319" w14:textId="0FA1DA67" w:rsidR="003A0B61" w:rsidRDefault="003A0B61" w:rsidP="003A0B61">
      <w:pPr>
        <w:pStyle w:val="MBT"/>
        <w:rPr>
          <w:lang w:val="en-GB"/>
        </w:rPr>
      </w:pPr>
      <w:r>
        <w:rPr>
          <w:lang w:val="en-GB"/>
        </w:rPr>
        <w:t xml:space="preserve">Authorised mandatories can cancel their registration by submitting a request to </w:t>
      </w:r>
      <w:r w:rsidR="008F12B9">
        <w:rPr>
          <w:lang w:val="en-GB"/>
        </w:rPr>
        <w:t>the Commissioner for Revenue</w:t>
      </w:r>
      <w:r>
        <w:rPr>
          <w:lang w:val="en-GB"/>
        </w:rPr>
        <w:t>.</w:t>
      </w:r>
      <w:r>
        <w:rPr>
          <w:rStyle w:val="FootnoteReference"/>
          <w:lang w:val="en-GB"/>
        </w:rPr>
        <w:footnoteReference w:id="91"/>
      </w:r>
      <w:r>
        <w:rPr>
          <w:lang w:val="en-GB"/>
        </w:rPr>
        <w:t xml:space="preserve"> In addition, </w:t>
      </w:r>
      <w:r w:rsidR="008F12B9">
        <w:rPr>
          <w:lang w:val="en-GB"/>
        </w:rPr>
        <w:t>the Commissioner for Revenue</w:t>
      </w:r>
      <w:r>
        <w:rPr>
          <w:lang w:val="en-GB"/>
        </w:rPr>
        <w:t xml:space="preserve"> can terminate the appointment of a registered </w:t>
      </w:r>
      <w:r w:rsidR="008F12B9">
        <w:rPr>
          <w:lang w:val="en-GB"/>
        </w:rPr>
        <w:t>authorised mandatory</w:t>
      </w:r>
      <w:r>
        <w:rPr>
          <w:lang w:val="en-GB"/>
        </w:rPr>
        <w:t xml:space="preserve"> if s/he repeatedly</w:t>
      </w:r>
      <w:r w:rsidR="008F12B9">
        <w:rPr>
          <w:lang w:val="en-GB"/>
        </w:rPr>
        <w:t xml:space="preserve"> (defined as ‘more than two failures’)</w:t>
      </w:r>
      <w:r>
        <w:rPr>
          <w:lang w:val="en-GB"/>
        </w:rPr>
        <w:t xml:space="preserve"> fails to carry out a function required under LN </w:t>
      </w:r>
      <w:r w:rsidR="008F12B9">
        <w:rPr>
          <w:lang w:val="en-GB"/>
        </w:rPr>
        <w:t>167/2013</w:t>
      </w:r>
      <w:r>
        <w:rPr>
          <w:lang w:val="en-GB"/>
        </w:rPr>
        <w:t>.</w:t>
      </w:r>
      <w:r>
        <w:rPr>
          <w:rStyle w:val="FootnoteReference"/>
          <w:lang w:val="en-GB"/>
        </w:rPr>
        <w:footnoteReference w:id="92"/>
      </w:r>
    </w:p>
    <w:p w14:paraId="4F44580A" w14:textId="0BF2616F" w:rsidR="008F12B9" w:rsidRDefault="008F12B9" w:rsidP="003A0B61">
      <w:pPr>
        <w:pStyle w:val="MBT"/>
        <w:rPr>
          <w:lang w:val="en-GB"/>
        </w:rPr>
      </w:pPr>
    </w:p>
    <w:p w14:paraId="4BA6536D" w14:textId="2EC81C3F" w:rsidR="003A0B61" w:rsidRDefault="008F12B9" w:rsidP="009F1716">
      <w:pPr>
        <w:pStyle w:val="MBT"/>
        <w:rPr>
          <w:lang w:val="en-GB"/>
        </w:rPr>
      </w:pPr>
      <w:r>
        <w:rPr>
          <w:lang w:val="en-GB"/>
        </w:rPr>
        <w:t xml:space="preserve">As explained above for the MRVP, agents registered for the purposes of Malta’s Individual Investor Programme can also act on behalf of applicants under </w:t>
      </w:r>
      <w:r w:rsidRPr="005A08C5">
        <w:rPr>
          <w:lang w:val="en-GB"/>
        </w:rPr>
        <w:t xml:space="preserve">the </w:t>
      </w:r>
      <w:r>
        <w:rPr>
          <w:lang w:val="en-GB"/>
        </w:rPr>
        <w:t>MRVP</w:t>
      </w:r>
      <w:r w:rsidR="00A50FB6">
        <w:rPr>
          <w:lang w:val="en-GB"/>
        </w:rPr>
        <w:t>. G</w:t>
      </w:r>
      <w:r>
        <w:rPr>
          <w:lang w:val="en-GB"/>
        </w:rPr>
        <w:t xml:space="preserve">iven the similar definitions and legal requirements these same agents </w:t>
      </w:r>
      <w:r w:rsidR="00356C16">
        <w:rPr>
          <w:lang w:val="en-GB"/>
        </w:rPr>
        <w:t xml:space="preserve">are </w:t>
      </w:r>
      <w:r>
        <w:rPr>
          <w:lang w:val="en-GB"/>
        </w:rPr>
        <w:t>also eligible for registration as authorised mandatories for the purposes of the GRP.</w:t>
      </w:r>
    </w:p>
    <w:p w14:paraId="6BF9C0C1" w14:textId="63B90852" w:rsidR="009F1716" w:rsidRPr="009F1716" w:rsidRDefault="009F1716" w:rsidP="000C462C">
      <w:pPr>
        <w:pStyle w:val="MBT"/>
        <w:rPr>
          <w:lang w:val="en-GB"/>
        </w:rPr>
      </w:pPr>
    </w:p>
    <w:p w14:paraId="6D65154B" w14:textId="59E753E6" w:rsidR="002636C6" w:rsidRPr="000C462C" w:rsidRDefault="00B311A7" w:rsidP="000C462C">
      <w:pPr>
        <w:pStyle w:val="MH2"/>
        <w:spacing w:after="0"/>
        <w:outlineLvl w:val="9"/>
      </w:pPr>
      <w:bookmarkStart w:id="14" w:name="_Toc379109059"/>
      <w:r w:rsidRPr="00523824">
        <w:t>Monitoring of the proceedings and the authorities involved</w:t>
      </w:r>
      <w:bookmarkEnd w:id="14"/>
    </w:p>
    <w:p w14:paraId="4365451F" w14:textId="77777777" w:rsidR="000C462C" w:rsidRDefault="000C462C" w:rsidP="000C462C">
      <w:pPr>
        <w:pStyle w:val="MBT"/>
        <w:rPr>
          <w:lang w:val="en-GB"/>
        </w:rPr>
      </w:pPr>
    </w:p>
    <w:p w14:paraId="48312E3D" w14:textId="05E63C4A" w:rsidR="008F12B9" w:rsidRDefault="008F12B9" w:rsidP="000C462C">
      <w:pPr>
        <w:pStyle w:val="MBT"/>
        <w:rPr>
          <w:lang w:val="en-GB"/>
        </w:rPr>
      </w:pPr>
      <w:r>
        <w:rPr>
          <w:lang w:val="en-GB"/>
        </w:rPr>
        <w:t xml:space="preserve">Neither LN 167/2013 nor LN </w:t>
      </w:r>
      <w:r w:rsidR="00B52D41">
        <w:rPr>
          <w:lang w:val="en-GB"/>
        </w:rPr>
        <w:t xml:space="preserve">288/2015 set out any cap for the </w:t>
      </w:r>
      <w:r>
        <w:rPr>
          <w:lang w:val="en-GB"/>
        </w:rPr>
        <w:t xml:space="preserve">GRP and MRVP </w:t>
      </w:r>
      <w:r w:rsidR="00B52D41">
        <w:rPr>
          <w:lang w:val="en-GB"/>
        </w:rPr>
        <w:t>scheme</w:t>
      </w:r>
      <w:r>
        <w:rPr>
          <w:lang w:val="en-GB"/>
        </w:rPr>
        <w:t>s</w:t>
      </w:r>
      <w:r w:rsidR="00B52D41">
        <w:rPr>
          <w:lang w:val="en-GB"/>
        </w:rPr>
        <w:t xml:space="preserve"> nor </w:t>
      </w:r>
      <w:r>
        <w:rPr>
          <w:lang w:val="en-GB"/>
        </w:rPr>
        <w:t>do they</w:t>
      </w:r>
      <w:r w:rsidR="00B52D41">
        <w:rPr>
          <w:lang w:val="en-GB"/>
        </w:rPr>
        <w:t xml:space="preserve"> establish a system of scrutiny by Parliament or other bodies. </w:t>
      </w:r>
      <w:r>
        <w:rPr>
          <w:lang w:val="en-GB"/>
        </w:rPr>
        <w:t>They do</w:t>
      </w:r>
      <w:r w:rsidR="00B52D41">
        <w:rPr>
          <w:lang w:val="en-GB"/>
        </w:rPr>
        <w:t xml:space="preserve"> however provide for some form of monitoring by the </w:t>
      </w:r>
      <w:r>
        <w:rPr>
          <w:lang w:val="en-GB"/>
        </w:rPr>
        <w:t xml:space="preserve">Commissioner for Revenue and the </w:t>
      </w:r>
      <w:r w:rsidR="00B52D41">
        <w:rPr>
          <w:lang w:val="en-GB"/>
        </w:rPr>
        <w:t xml:space="preserve">MRVA </w:t>
      </w:r>
      <w:r>
        <w:rPr>
          <w:lang w:val="en-GB"/>
        </w:rPr>
        <w:t xml:space="preserve">themselves </w:t>
      </w:r>
      <w:r w:rsidR="00B52D41">
        <w:rPr>
          <w:lang w:val="en-GB"/>
        </w:rPr>
        <w:t xml:space="preserve">through </w:t>
      </w:r>
      <w:r>
        <w:rPr>
          <w:lang w:val="en-GB"/>
        </w:rPr>
        <w:t xml:space="preserve">the </w:t>
      </w:r>
      <w:r w:rsidR="00B52D41">
        <w:rPr>
          <w:lang w:val="en-GB"/>
        </w:rPr>
        <w:t xml:space="preserve">right </w:t>
      </w:r>
      <w:r>
        <w:rPr>
          <w:lang w:val="en-GB"/>
        </w:rPr>
        <w:t xml:space="preserve">of these authorities </w:t>
      </w:r>
      <w:r w:rsidR="00B52D41">
        <w:rPr>
          <w:lang w:val="en-GB"/>
        </w:rPr>
        <w:t xml:space="preserve">to request information in terms of </w:t>
      </w:r>
      <w:r>
        <w:rPr>
          <w:lang w:val="en-GB"/>
        </w:rPr>
        <w:t xml:space="preserve">Rule 7 of LN 167/2013 and </w:t>
      </w:r>
      <w:r w:rsidR="00B52D41">
        <w:rPr>
          <w:lang w:val="en-GB"/>
        </w:rPr>
        <w:t>Regulation 10 of LN 288/2015</w:t>
      </w:r>
      <w:r w:rsidR="004C7C15">
        <w:rPr>
          <w:lang w:val="en-GB"/>
        </w:rPr>
        <w:t xml:space="preserve"> </w:t>
      </w:r>
      <w:r w:rsidR="004C7C15">
        <w:rPr>
          <w:lang w:val="en-GB"/>
        </w:rPr>
        <w:lastRenderedPageBreak/>
        <w:t>respectively</w:t>
      </w:r>
      <w:r w:rsidR="00B52D41">
        <w:rPr>
          <w:lang w:val="en-GB"/>
        </w:rPr>
        <w:t xml:space="preserve">. </w:t>
      </w:r>
    </w:p>
    <w:p w14:paraId="07C6B95A" w14:textId="77777777" w:rsidR="008F12B9" w:rsidRDefault="008F12B9" w:rsidP="000C462C">
      <w:pPr>
        <w:pStyle w:val="MBT"/>
        <w:rPr>
          <w:lang w:val="en-GB"/>
        </w:rPr>
      </w:pPr>
    </w:p>
    <w:p w14:paraId="5B7D0FA2" w14:textId="77777777" w:rsidR="00A2632B" w:rsidRDefault="00B52D41" w:rsidP="000C462C">
      <w:pPr>
        <w:pStyle w:val="MBT"/>
        <w:rPr>
          <w:lang w:val="en-GB"/>
        </w:rPr>
      </w:pPr>
      <w:r>
        <w:rPr>
          <w:lang w:val="en-GB"/>
        </w:rPr>
        <w:t>The MRVA can require the individual or the relevant registered approved agent and/or registered accredited person to produce, within a specified time limit, information and documents it considers necessary for the purpose of ascertaining an individual’s entitlement to rights acquired under LN 288/2015 and ensuring the proper application of LN 288/2015</w:t>
      </w:r>
      <w:r w:rsidR="00617383">
        <w:rPr>
          <w:lang w:val="en-GB"/>
        </w:rPr>
        <w:t>.</w:t>
      </w:r>
      <w:r>
        <w:rPr>
          <w:rStyle w:val="FootnoteReference"/>
          <w:lang w:val="en-GB"/>
        </w:rPr>
        <w:footnoteReference w:id="93"/>
      </w:r>
      <w:r>
        <w:rPr>
          <w:lang w:val="en-GB"/>
        </w:rPr>
        <w:t xml:space="preserve"> </w:t>
      </w:r>
      <w:r w:rsidR="008F12B9">
        <w:rPr>
          <w:lang w:val="en-GB"/>
        </w:rPr>
        <w:t xml:space="preserve">The Commissioner for Revenue </w:t>
      </w:r>
      <w:r w:rsidR="00A2632B">
        <w:rPr>
          <w:lang w:val="en-GB"/>
        </w:rPr>
        <w:t>is granted exactly the same power to request information from the relevant authorised registered mandatory.</w:t>
      </w:r>
      <w:r w:rsidR="00A2632B">
        <w:rPr>
          <w:rStyle w:val="FootnoteReference"/>
          <w:lang w:val="en-GB"/>
        </w:rPr>
        <w:footnoteReference w:id="94"/>
      </w:r>
      <w:r w:rsidR="00A2632B">
        <w:rPr>
          <w:lang w:val="en-GB"/>
        </w:rPr>
        <w:t xml:space="preserve"> </w:t>
      </w:r>
    </w:p>
    <w:p w14:paraId="54A1FF3B" w14:textId="77777777" w:rsidR="00A2632B" w:rsidRDefault="00A2632B" w:rsidP="000C462C">
      <w:pPr>
        <w:pStyle w:val="MBT"/>
        <w:rPr>
          <w:lang w:val="en-GB"/>
        </w:rPr>
      </w:pPr>
    </w:p>
    <w:p w14:paraId="266BC8CB" w14:textId="49BDB1AD" w:rsidR="003A1921" w:rsidRPr="003A1921" w:rsidRDefault="00B52D41" w:rsidP="000C462C">
      <w:pPr>
        <w:pStyle w:val="MBT"/>
      </w:pPr>
      <w:r>
        <w:rPr>
          <w:lang w:val="en-GB"/>
        </w:rPr>
        <w:t xml:space="preserve">The MRVA can also exchange information it </w:t>
      </w:r>
      <w:r w:rsidR="00637E94">
        <w:rPr>
          <w:lang w:val="en-GB"/>
        </w:rPr>
        <w:t>h</w:t>
      </w:r>
      <w:r>
        <w:rPr>
          <w:lang w:val="en-GB"/>
        </w:rPr>
        <w:t xml:space="preserve">as concerning an applicant, a beneficiary, or a person that has </w:t>
      </w:r>
      <w:r>
        <w:t xml:space="preserve">long-term </w:t>
      </w:r>
      <w:r w:rsidR="0056277E" w:rsidRPr="003A1921">
        <w:t>residence status</w:t>
      </w:r>
      <w:r w:rsidR="0056277E">
        <w:t xml:space="preserve"> in</w:t>
      </w:r>
      <w:r w:rsidR="003A1921" w:rsidRPr="003A1921">
        <w:t xml:space="preserve"> </w:t>
      </w:r>
      <w:r w:rsidR="0056277E" w:rsidRPr="003A1921">
        <w:t>terms of the</w:t>
      </w:r>
      <w:r>
        <w:t xml:space="preserve"> Status </w:t>
      </w:r>
      <w:r w:rsidR="0056277E" w:rsidRPr="003A1921">
        <w:t>of Long</w:t>
      </w:r>
      <w:r w:rsidR="003A1921" w:rsidRPr="003A1921">
        <w:t>-</w:t>
      </w:r>
      <w:r w:rsidR="0056277E" w:rsidRPr="003A1921">
        <w:t>term Residents</w:t>
      </w:r>
      <w:r w:rsidR="003A1921" w:rsidRPr="003A1921">
        <w:t xml:space="preserve"> (</w:t>
      </w:r>
      <w:r w:rsidR="0056277E" w:rsidRPr="003A1921">
        <w:t>Third Country</w:t>
      </w:r>
      <w:r w:rsidR="0056277E">
        <w:t xml:space="preserve"> Nationals) Regulations. Such information may be exchanged only for the purposes of LN 288/2015 and for the purposes of the long-term residence status in terms of </w:t>
      </w:r>
      <w:r w:rsidR="003A1921" w:rsidRPr="003A1921">
        <w:t>the Status of Long-term Residents</w:t>
      </w:r>
      <w:r w:rsidR="0056277E">
        <w:t xml:space="preserve"> </w:t>
      </w:r>
      <w:r w:rsidR="003A1921" w:rsidRPr="003A1921">
        <w:t>(Third Country Nationals) Regulations</w:t>
      </w:r>
      <w:r w:rsidR="00617383">
        <w:t>.</w:t>
      </w:r>
      <w:r w:rsidR="0056277E">
        <w:rPr>
          <w:rStyle w:val="FootnoteReference"/>
        </w:rPr>
        <w:footnoteReference w:id="95"/>
      </w:r>
      <w:r w:rsidR="00A2632B">
        <w:t xml:space="preserve"> The Commissioner for Revenue is granted the same power for the purposes of the GRP.</w:t>
      </w:r>
      <w:r w:rsidR="00A2632B">
        <w:rPr>
          <w:rStyle w:val="FootnoteReference"/>
        </w:rPr>
        <w:footnoteReference w:id="96"/>
      </w:r>
    </w:p>
    <w:p w14:paraId="1002E99E" w14:textId="77777777" w:rsidR="003A1921" w:rsidRPr="003A1921" w:rsidRDefault="003A1921" w:rsidP="003A1921">
      <w:pPr>
        <w:pStyle w:val="MBT"/>
      </w:pPr>
    </w:p>
    <w:p w14:paraId="2B7A3BCB" w14:textId="1CF2A736" w:rsidR="002636C6" w:rsidRDefault="003A66AF" w:rsidP="00204BA5">
      <w:pPr>
        <w:pStyle w:val="MBT"/>
        <w:rPr>
          <w:lang w:val="en-GB"/>
        </w:rPr>
      </w:pPr>
      <w:r>
        <w:rPr>
          <w:lang w:val="en-GB"/>
        </w:rPr>
        <w:t xml:space="preserve">LN 288/2015 </w:t>
      </w:r>
      <w:r w:rsidR="002356B0">
        <w:rPr>
          <w:lang w:val="en-GB"/>
        </w:rPr>
        <w:t>grants</w:t>
      </w:r>
      <w:r>
        <w:rPr>
          <w:lang w:val="en-GB"/>
        </w:rPr>
        <w:t xml:space="preserve"> the MRVA absolute </w:t>
      </w:r>
      <w:r w:rsidR="002356B0">
        <w:rPr>
          <w:lang w:val="en-GB"/>
        </w:rPr>
        <w:t>discretion</w:t>
      </w:r>
      <w:r w:rsidR="00A26583">
        <w:rPr>
          <w:lang w:val="en-GB"/>
        </w:rPr>
        <w:t xml:space="preserve"> –</w:t>
      </w:r>
      <w:r>
        <w:rPr>
          <w:lang w:val="en-GB"/>
        </w:rPr>
        <w:t xml:space="preserve"> </w:t>
      </w:r>
      <w:r w:rsidR="00A26583">
        <w:rPr>
          <w:lang w:val="en-GB"/>
        </w:rPr>
        <w:t>a</w:t>
      </w:r>
      <w:r w:rsidR="002356B0">
        <w:rPr>
          <w:lang w:val="en-GB"/>
        </w:rPr>
        <w:t>ny decision, determination or verification falli</w:t>
      </w:r>
      <w:r w:rsidR="00A26583">
        <w:rPr>
          <w:lang w:val="en-GB"/>
        </w:rPr>
        <w:t xml:space="preserve">ng within its competence is to ‘be </w:t>
      </w:r>
      <w:r w:rsidR="002356B0">
        <w:rPr>
          <w:lang w:val="en-GB"/>
        </w:rPr>
        <w:t>made at that agency’s absolute discretion’, is final and not subject to appeal</w:t>
      </w:r>
      <w:r w:rsidR="00617383">
        <w:rPr>
          <w:lang w:val="en-GB"/>
        </w:rPr>
        <w:t>.</w:t>
      </w:r>
      <w:r w:rsidR="002356B0">
        <w:rPr>
          <w:rStyle w:val="FootnoteReference"/>
          <w:lang w:val="en-GB"/>
        </w:rPr>
        <w:footnoteReference w:id="97"/>
      </w:r>
      <w:r w:rsidR="002356B0">
        <w:rPr>
          <w:lang w:val="en-GB"/>
        </w:rPr>
        <w:t xml:space="preserve"> </w:t>
      </w:r>
      <w:r w:rsidR="004C7C15">
        <w:rPr>
          <w:lang w:val="en-GB"/>
        </w:rPr>
        <w:t>No similar provision is made with respect to the Commissioner for Revenue.</w:t>
      </w:r>
    </w:p>
    <w:p w14:paraId="119F8453" w14:textId="2FA42019" w:rsidR="00837B8B" w:rsidRDefault="00837B8B" w:rsidP="00204BA5">
      <w:pPr>
        <w:pStyle w:val="MBT"/>
        <w:rPr>
          <w:lang w:val="en-GB"/>
        </w:rPr>
      </w:pPr>
    </w:p>
    <w:p w14:paraId="0B71A9C6" w14:textId="6060D13C" w:rsidR="000E7600" w:rsidRDefault="00837B8B" w:rsidP="00204BA5">
      <w:pPr>
        <w:pStyle w:val="MBT"/>
        <w:rPr>
          <w:lang w:val="en-GB"/>
        </w:rPr>
      </w:pPr>
      <w:r>
        <w:rPr>
          <w:lang w:val="en-GB"/>
        </w:rPr>
        <w:t>In any case, as with all public bodies, the MRVA is subject to the scrutiny of any Member of Parliament, the National Audit Office and the Public Accounts Committee.</w:t>
      </w:r>
      <w:r>
        <w:rPr>
          <w:rStyle w:val="FootnoteReference"/>
          <w:lang w:val="en-GB"/>
        </w:rPr>
        <w:footnoteReference w:id="98"/>
      </w:r>
      <w:r w:rsidR="004C7C15">
        <w:rPr>
          <w:lang w:val="en-GB"/>
        </w:rPr>
        <w:t xml:space="preserve"> The Commissioner for Revenue would also be subject to such scrutiny.</w:t>
      </w:r>
    </w:p>
    <w:p w14:paraId="0E0E607C" w14:textId="77777777" w:rsidR="000C462C" w:rsidRPr="00523824" w:rsidRDefault="000C462C" w:rsidP="00204BA5">
      <w:pPr>
        <w:pStyle w:val="MBT"/>
        <w:rPr>
          <w:lang w:val="en-GB"/>
        </w:rPr>
      </w:pPr>
    </w:p>
    <w:p w14:paraId="76241496" w14:textId="3BCDF611" w:rsidR="00B311A7" w:rsidRPr="00523824" w:rsidRDefault="00B311A7" w:rsidP="000C462C">
      <w:pPr>
        <w:pStyle w:val="MH2"/>
        <w:spacing w:after="0"/>
        <w:outlineLvl w:val="9"/>
      </w:pPr>
      <w:bookmarkStart w:id="15" w:name="_Toc379109060"/>
      <w:bookmarkStart w:id="16" w:name="_Hlk496121550"/>
      <w:r w:rsidRPr="00523824">
        <w:t>Information on applications</w:t>
      </w:r>
      <w:bookmarkEnd w:id="15"/>
    </w:p>
    <w:p w14:paraId="318A60BD" w14:textId="77777777" w:rsidR="0043464F" w:rsidRDefault="0043464F" w:rsidP="000C462C">
      <w:pPr>
        <w:pStyle w:val="MBT"/>
        <w:rPr>
          <w:lang w:val="en-GB"/>
        </w:rPr>
      </w:pPr>
      <w:bookmarkStart w:id="17" w:name="_Hlk496121669"/>
      <w:bookmarkEnd w:id="16"/>
    </w:p>
    <w:p w14:paraId="239AF294" w14:textId="7B8EB47C" w:rsidR="000C462C" w:rsidRDefault="00780EF9" w:rsidP="000C462C">
      <w:pPr>
        <w:pStyle w:val="MBT"/>
        <w:rPr>
          <w:lang w:val="en-GB"/>
        </w:rPr>
      </w:pPr>
      <w:r>
        <w:rPr>
          <w:lang w:val="en-GB"/>
        </w:rPr>
        <w:t xml:space="preserve">Neither LN 167/2013 nor </w:t>
      </w:r>
      <w:r w:rsidR="0043464F">
        <w:rPr>
          <w:lang w:val="en-GB"/>
        </w:rPr>
        <w:t xml:space="preserve">LN 288/2015 contain any obligation to disclose information about successful applicants nor is this information </w:t>
      </w:r>
      <w:r w:rsidR="0043464F" w:rsidRPr="000C462C">
        <w:rPr>
          <w:lang w:val="en-GB"/>
        </w:rPr>
        <w:t xml:space="preserve">published in practice. </w:t>
      </w:r>
    </w:p>
    <w:p w14:paraId="0F035276" w14:textId="77777777" w:rsidR="000C462C" w:rsidRDefault="000C462C" w:rsidP="000C462C">
      <w:pPr>
        <w:pStyle w:val="MBT"/>
        <w:rPr>
          <w:lang w:val="en-GB"/>
        </w:rPr>
      </w:pPr>
    </w:p>
    <w:p w14:paraId="3F7C51B7" w14:textId="7EE4F2C4" w:rsidR="0043464F" w:rsidRDefault="000C462C" w:rsidP="000C462C">
      <w:pPr>
        <w:pStyle w:val="MBT"/>
        <w:rPr>
          <w:lang w:val="en-GB"/>
        </w:rPr>
      </w:pPr>
      <w:r>
        <w:rPr>
          <w:lang w:val="en-GB"/>
        </w:rPr>
        <w:t xml:space="preserve">The MRVP was only launched in </w:t>
      </w:r>
      <w:r w:rsidR="000E06A6">
        <w:rPr>
          <w:lang w:val="en-GB"/>
        </w:rPr>
        <w:t xml:space="preserve">October </w:t>
      </w:r>
      <w:r>
        <w:rPr>
          <w:lang w:val="en-GB"/>
        </w:rPr>
        <w:t xml:space="preserve">2015 and therefore the 2012 to 2014 reference dates are not relevant </w:t>
      </w:r>
      <w:r w:rsidR="00437C90">
        <w:rPr>
          <w:lang w:val="en-GB"/>
        </w:rPr>
        <w:t xml:space="preserve">in </w:t>
      </w:r>
      <w:r>
        <w:rPr>
          <w:lang w:val="en-GB"/>
        </w:rPr>
        <w:t>the Maltese context. No</w:t>
      </w:r>
      <w:r w:rsidR="0043464F" w:rsidRPr="000C462C">
        <w:rPr>
          <w:lang w:val="en-GB"/>
        </w:rPr>
        <w:t xml:space="preserve"> statistical data is </w:t>
      </w:r>
      <w:r w:rsidR="00410BB9">
        <w:rPr>
          <w:lang w:val="en-GB"/>
        </w:rPr>
        <w:t xml:space="preserve">publicly </w:t>
      </w:r>
      <w:r w:rsidR="0043464F" w:rsidRPr="000C462C">
        <w:rPr>
          <w:lang w:val="en-GB"/>
        </w:rPr>
        <w:t>available</w:t>
      </w:r>
      <w:r w:rsidR="00546F64" w:rsidRPr="000C462C">
        <w:rPr>
          <w:lang w:val="en-GB"/>
        </w:rPr>
        <w:t xml:space="preserve"> for 2015, 2016, and 2017</w:t>
      </w:r>
      <w:r w:rsidR="0043464F" w:rsidRPr="000C462C">
        <w:rPr>
          <w:lang w:val="en-GB"/>
        </w:rPr>
        <w:t xml:space="preserve"> and the table below </w:t>
      </w:r>
      <w:r w:rsidR="00A43535">
        <w:rPr>
          <w:lang w:val="en-GB"/>
        </w:rPr>
        <w:t>is completed on the basis of information obtained directly from the MRVA.</w:t>
      </w:r>
      <w:r w:rsidR="00A43535">
        <w:rPr>
          <w:rStyle w:val="FootnoteReference"/>
          <w:lang w:val="en-GB"/>
        </w:rPr>
        <w:footnoteReference w:id="99"/>
      </w:r>
    </w:p>
    <w:p w14:paraId="06F56FEE" w14:textId="77777777" w:rsidR="000E06A6" w:rsidRDefault="000E06A6" w:rsidP="000C462C">
      <w:pPr>
        <w:pStyle w:val="MBT"/>
        <w:rPr>
          <w:lang w:val="en-GB"/>
        </w:rPr>
      </w:pPr>
    </w:p>
    <w:p w14:paraId="10D3A028" w14:textId="3340AA28" w:rsidR="000E06A6" w:rsidRDefault="000E06A6" w:rsidP="000C462C">
      <w:pPr>
        <w:pStyle w:val="MBT"/>
        <w:rPr>
          <w:lang w:val="en-GB"/>
        </w:rPr>
      </w:pPr>
      <w:r>
        <w:rPr>
          <w:lang w:val="en-GB"/>
        </w:rPr>
        <w:t xml:space="preserve">As the programme started in late 2015, there </w:t>
      </w:r>
      <w:r w:rsidR="001123F3">
        <w:rPr>
          <w:lang w:val="en-GB"/>
        </w:rPr>
        <w:t>were</w:t>
      </w:r>
      <w:r>
        <w:rPr>
          <w:lang w:val="en-GB"/>
        </w:rPr>
        <w:t xml:space="preserve"> no applications in that calendar year. In addition to the data presented in the table below, it should be noted that there have been an additional 82 applications under </w:t>
      </w:r>
      <w:r w:rsidR="001123F3">
        <w:rPr>
          <w:lang w:val="en-GB"/>
        </w:rPr>
        <w:t xml:space="preserve">the </w:t>
      </w:r>
      <w:r>
        <w:rPr>
          <w:lang w:val="en-GB"/>
        </w:rPr>
        <w:t xml:space="preserve">MRVP in January 2018. All of these new applications are pending review as of March 2018. </w:t>
      </w:r>
      <w:r w:rsidRPr="001123F3">
        <w:rPr>
          <w:lang w:val="en-GB"/>
        </w:rPr>
        <w:t xml:space="preserve">The stakeholder consultation with </w:t>
      </w:r>
      <w:r w:rsidR="001123F3" w:rsidRPr="001123F3">
        <w:rPr>
          <w:lang w:val="en-GB"/>
        </w:rPr>
        <w:t xml:space="preserve">an </w:t>
      </w:r>
      <w:r w:rsidRPr="001123F3">
        <w:rPr>
          <w:lang w:val="en-GB"/>
        </w:rPr>
        <w:t>MRVA representative confirmed that the most common reason for rejected applications was failed due diligence.</w:t>
      </w:r>
      <w:r w:rsidRPr="001123F3">
        <w:rPr>
          <w:rStyle w:val="FootnoteReference"/>
          <w:lang w:val="en-GB"/>
        </w:rPr>
        <w:footnoteReference w:id="100"/>
      </w:r>
      <w:r>
        <w:rPr>
          <w:lang w:val="en-GB"/>
        </w:rPr>
        <w:t xml:space="preserve"> </w:t>
      </w:r>
    </w:p>
    <w:p w14:paraId="7EB17133" w14:textId="6423D81A" w:rsidR="00B311A7" w:rsidRPr="00523824" w:rsidRDefault="00B311A7" w:rsidP="002636C6">
      <w:pPr>
        <w:pStyle w:val="MBT"/>
        <w:rPr>
          <w:i/>
          <w:color w:val="FF0000"/>
          <w:lang w:val="en-GB"/>
        </w:rPr>
      </w:pP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661"/>
        <w:gridCol w:w="1798"/>
        <w:gridCol w:w="2072"/>
        <w:gridCol w:w="1661"/>
        <w:gridCol w:w="1798"/>
        <w:gridCol w:w="1026"/>
      </w:tblGrid>
      <w:tr w:rsidR="006D0617" w:rsidRPr="00523824" w14:paraId="56E8FC4D" w14:textId="77777777" w:rsidTr="004A44E6">
        <w:tc>
          <w:tcPr>
            <w:tcW w:w="367" w:type="pct"/>
            <w:shd w:val="clear" w:color="auto" w:fill="95B3D7" w:themeFill="accent1" w:themeFillTint="99"/>
          </w:tcPr>
          <w:p w14:paraId="7850B8C5" w14:textId="77777777" w:rsidR="00B311A7" w:rsidRPr="00523824" w:rsidRDefault="00B311A7" w:rsidP="001C1E15">
            <w:pPr>
              <w:jc w:val="both"/>
              <w:rPr>
                <w:rFonts w:ascii="Century Gothic" w:hAnsi="Century Gothic"/>
                <w:b/>
                <w:sz w:val="18"/>
                <w:lang w:val="en-GB"/>
              </w:rPr>
            </w:pPr>
            <w:r w:rsidRPr="00523824">
              <w:rPr>
                <w:rFonts w:ascii="Century Gothic" w:hAnsi="Century Gothic"/>
                <w:b/>
                <w:sz w:val="18"/>
                <w:lang w:val="en-GB"/>
              </w:rPr>
              <w:t>Year</w:t>
            </w:r>
          </w:p>
        </w:tc>
        <w:tc>
          <w:tcPr>
            <w:tcW w:w="997" w:type="pct"/>
            <w:shd w:val="clear" w:color="auto" w:fill="95B3D7" w:themeFill="accent1" w:themeFillTint="99"/>
          </w:tcPr>
          <w:p w14:paraId="4BCD5886" w14:textId="77777777" w:rsidR="00B311A7" w:rsidRPr="00523824" w:rsidRDefault="00B311A7" w:rsidP="001C1E15">
            <w:pPr>
              <w:jc w:val="center"/>
              <w:rPr>
                <w:rFonts w:ascii="Century Gothic" w:hAnsi="Century Gothic"/>
                <w:b/>
                <w:sz w:val="18"/>
                <w:lang w:val="en-GB"/>
              </w:rPr>
            </w:pPr>
            <w:r w:rsidRPr="00523824">
              <w:rPr>
                <w:rFonts w:ascii="Century Gothic" w:hAnsi="Century Gothic"/>
                <w:b/>
                <w:sz w:val="18"/>
                <w:lang w:val="en-GB"/>
              </w:rPr>
              <w:t>Total no. of requests for residence</w:t>
            </w:r>
          </w:p>
        </w:tc>
        <w:tc>
          <w:tcPr>
            <w:tcW w:w="1149" w:type="pct"/>
            <w:shd w:val="clear" w:color="auto" w:fill="95B3D7" w:themeFill="accent1" w:themeFillTint="99"/>
          </w:tcPr>
          <w:p w14:paraId="1FC9E95E" w14:textId="77777777" w:rsidR="00B311A7" w:rsidRPr="00523824" w:rsidRDefault="00B311A7" w:rsidP="001C1E15">
            <w:pPr>
              <w:jc w:val="center"/>
              <w:rPr>
                <w:rFonts w:ascii="Century Gothic" w:hAnsi="Century Gothic"/>
                <w:b/>
                <w:sz w:val="18"/>
                <w:lang w:val="en-GB"/>
              </w:rPr>
            </w:pPr>
            <w:r w:rsidRPr="00523824">
              <w:rPr>
                <w:rFonts w:ascii="Century Gothic" w:hAnsi="Century Gothic"/>
                <w:b/>
                <w:sz w:val="18"/>
                <w:lang w:val="en-GB"/>
              </w:rPr>
              <w:t>No. of requests for residence by investors</w:t>
            </w:r>
          </w:p>
        </w:tc>
        <w:tc>
          <w:tcPr>
            <w:tcW w:w="921" w:type="pct"/>
            <w:shd w:val="clear" w:color="auto" w:fill="95B3D7" w:themeFill="accent1" w:themeFillTint="99"/>
          </w:tcPr>
          <w:p w14:paraId="200A8913" w14:textId="77777777" w:rsidR="00B311A7" w:rsidRPr="00523824" w:rsidRDefault="00B311A7" w:rsidP="001C1E15">
            <w:pPr>
              <w:jc w:val="center"/>
              <w:rPr>
                <w:rFonts w:ascii="Century Gothic" w:hAnsi="Century Gothic"/>
                <w:b/>
                <w:sz w:val="18"/>
                <w:lang w:val="en-GB"/>
              </w:rPr>
            </w:pPr>
            <w:r w:rsidRPr="00523824">
              <w:rPr>
                <w:rFonts w:ascii="Century Gothic" w:hAnsi="Century Gothic"/>
                <w:b/>
                <w:sz w:val="18"/>
                <w:lang w:val="en-GB"/>
              </w:rPr>
              <w:t>No. of successful applications</w:t>
            </w:r>
          </w:p>
        </w:tc>
        <w:tc>
          <w:tcPr>
            <w:tcW w:w="997" w:type="pct"/>
            <w:shd w:val="clear" w:color="auto" w:fill="95B3D7" w:themeFill="accent1" w:themeFillTint="99"/>
          </w:tcPr>
          <w:p w14:paraId="4F397425" w14:textId="77777777" w:rsidR="00B311A7" w:rsidRPr="00523824" w:rsidRDefault="00B311A7" w:rsidP="001C1E15">
            <w:pPr>
              <w:jc w:val="center"/>
              <w:rPr>
                <w:rFonts w:ascii="Century Gothic" w:hAnsi="Century Gothic"/>
                <w:b/>
                <w:sz w:val="18"/>
                <w:lang w:val="en-GB"/>
              </w:rPr>
            </w:pPr>
            <w:r w:rsidRPr="00523824">
              <w:rPr>
                <w:rFonts w:ascii="Century Gothic" w:hAnsi="Century Gothic"/>
                <w:b/>
                <w:sz w:val="18"/>
                <w:lang w:val="en-GB"/>
              </w:rPr>
              <w:t>No. of turned down applications</w:t>
            </w:r>
          </w:p>
        </w:tc>
        <w:tc>
          <w:tcPr>
            <w:tcW w:w="569" w:type="pct"/>
            <w:shd w:val="clear" w:color="auto" w:fill="95B3D7" w:themeFill="accent1" w:themeFillTint="99"/>
          </w:tcPr>
          <w:p w14:paraId="6A298BE7" w14:textId="77777777" w:rsidR="00B311A7" w:rsidRPr="00523824" w:rsidRDefault="00B311A7" w:rsidP="001C1E15">
            <w:pPr>
              <w:jc w:val="center"/>
              <w:rPr>
                <w:rFonts w:ascii="Century Gothic" w:hAnsi="Century Gothic"/>
                <w:b/>
                <w:sz w:val="18"/>
                <w:lang w:val="en-GB"/>
              </w:rPr>
            </w:pPr>
            <w:r w:rsidRPr="00523824">
              <w:rPr>
                <w:rFonts w:ascii="Century Gothic" w:hAnsi="Century Gothic"/>
                <w:b/>
                <w:sz w:val="18"/>
                <w:lang w:val="en-GB"/>
              </w:rPr>
              <w:t>Sources</w:t>
            </w:r>
          </w:p>
        </w:tc>
      </w:tr>
      <w:tr w:rsidR="006D0617" w:rsidRPr="00523824" w14:paraId="7300AF84" w14:textId="77777777" w:rsidTr="004A44E6">
        <w:tc>
          <w:tcPr>
            <w:tcW w:w="367" w:type="pct"/>
            <w:shd w:val="clear" w:color="auto" w:fill="DBE5F1" w:themeFill="accent1" w:themeFillTint="33"/>
          </w:tcPr>
          <w:p w14:paraId="4323F894" w14:textId="77777777" w:rsidR="00B311A7" w:rsidRPr="00523824" w:rsidRDefault="00B311A7" w:rsidP="001C1E15">
            <w:pPr>
              <w:jc w:val="both"/>
              <w:rPr>
                <w:rFonts w:ascii="Century Gothic" w:hAnsi="Century Gothic"/>
                <w:sz w:val="18"/>
                <w:lang w:val="en-GB"/>
              </w:rPr>
            </w:pPr>
            <w:r w:rsidRPr="00523824">
              <w:rPr>
                <w:rFonts w:ascii="Century Gothic" w:hAnsi="Century Gothic"/>
                <w:sz w:val="18"/>
                <w:lang w:val="en-GB"/>
              </w:rPr>
              <w:t>2012</w:t>
            </w:r>
          </w:p>
        </w:tc>
        <w:tc>
          <w:tcPr>
            <w:tcW w:w="997" w:type="pct"/>
            <w:shd w:val="clear" w:color="auto" w:fill="D9D9D9" w:themeFill="background1" w:themeFillShade="D9"/>
          </w:tcPr>
          <w:p w14:paraId="5604211A" w14:textId="43AFB859" w:rsidR="00B311A7" w:rsidRPr="004A44E6" w:rsidRDefault="000E7600" w:rsidP="001C1E15">
            <w:pPr>
              <w:jc w:val="both"/>
              <w:rPr>
                <w:rFonts w:ascii="Century Gothic" w:hAnsi="Century Gothic"/>
                <w:sz w:val="18"/>
                <w:lang w:val="en-GB"/>
              </w:rPr>
            </w:pPr>
            <w:r w:rsidRPr="004A44E6">
              <w:rPr>
                <w:rFonts w:ascii="Century Gothic" w:hAnsi="Century Gothic"/>
                <w:sz w:val="18"/>
                <w:lang w:val="en-GB"/>
              </w:rPr>
              <w:t>N/A</w:t>
            </w:r>
          </w:p>
        </w:tc>
        <w:tc>
          <w:tcPr>
            <w:tcW w:w="1149" w:type="pct"/>
            <w:shd w:val="clear" w:color="auto" w:fill="D9D9D9" w:themeFill="background1" w:themeFillShade="D9"/>
          </w:tcPr>
          <w:p w14:paraId="7776CC64" w14:textId="4AC37118"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921" w:type="pct"/>
            <w:shd w:val="clear" w:color="auto" w:fill="D9D9D9" w:themeFill="background1" w:themeFillShade="D9"/>
          </w:tcPr>
          <w:p w14:paraId="238C1263" w14:textId="75D5E94E"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997" w:type="pct"/>
            <w:shd w:val="clear" w:color="auto" w:fill="D9D9D9" w:themeFill="background1" w:themeFillShade="D9"/>
          </w:tcPr>
          <w:p w14:paraId="4FAA35C2" w14:textId="7D1E44F5"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569" w:type="pct"/>
            <w:shd w:val="clear" w:color="auto" w:fill="D9D9D9" w:themeFill="background1" w:themeFillShade="D9"/>
          </w:tcPr>
          <w:p w14:paraId="4FDD2C7E" w14:textId="478D4335" w:rsidR="00B311A7" w:rsidRPr="004A44E6" w:rsidRDefault="000E7600" w:rsidP="001C1E15">
            <w:pPr>
              <w:jc w:val="both"/>
              <w:rPr>
                <w:rFonts w:ascii="Century Gothic" w:hAnsi="Century Gothic"/>
                <w:sz w:val="18"/>
                <w:lang w:val="en-GB"/>
              </w:rPr>
            </w:pPr>
            <w:r w:rsidRPr="004A44E6">
              <w:rPr>
                <w:rFonts w:ascii="Century Gothic" w:hAnsi="Century Gothic"/>
                <w:sz w:val="18"/>
                <w:lang w:val="en-GB"/>
              </w:rPr>
              <w:t>N/A</w:t>
            </w:r>
          </w:p>
        </w:tc>
      </w:tr>
      <w:tr w:rsidR="006D0617" w:rsidRPr="00523824" w14:paraId="3E85EDB4" w14:textId="77777777" w:rsidTr="004A44E6">
        <w:tc>
          <w:tcPr>
            <w:tcW w:w="367" w:type="pct"/>
            <w:shd w:val="clear" w:color="auto" w:fill="DBE5F1" w:themeFill="accent1" w:themeFillTint="33"/>
          </w:tcPr>
          <w:p w14:paraId="7C5A61AC" w14:textId="77777777" w:rsidR="00B311A7" w:rsidRPr="00523824" w:rsidRDefault="00B311A7" w:rsidP="001C1E15">
            <w:pPr>
              <w:jc w:val="both"/>
              <w:rPr>
                <w:rFonts w:ascii="Century Gothic" w:hAnsi="Century Gothic"/>
                <w:sz w:val="18"/>
                <w:lang w:val="en-GB"/>
              </w:rPr>
            </w:pPr>
            <w:r w:rsidRPr="00523824">
              <w:rPr>
                <w:rFonts w:ascii="Century Gothic" w:hAnsi="Century Gothic"/>
                <w:sz w:val="18"/>
                <w:lang w:val="en-GB"/>
              </w:rPr>
              <w:t>2013</w:t>
            </w:r>
          </w:p>
        </w:tc>
        <w:tc>
          <w:tcPr>
            <w:tcW w:w="997" w:type="pct"/>
            <w:shd w:val="clear" w:color="auto" w:fill="D9D9D9" w:themeFill="background1" w:themeFillShade="D9"/>
          </w:tcPr>
          <w:p w14:paraId="3261F41A" w14:textId="473FF97C" w:rsidR="00B311A7" w:rsidRPr="004A44E6" w:rsidRDefault="000E7600" w:rsidP="001C1E15">
            <w:pPr>
              <w:jc w:val="both"/>
              <w:rPr>
                <w:rFonts w:ascii="Century Gothic" w:hAnsi="Century Gothic"/>
                <w:sz w:val="18"/>
                <w:lang w:val="en-GB"/>
              </w:rPr>
            </w:pPr>
            <w:r w:rsidRPr="004A44E6">
              <w:rPr>
                <w:rFonts w:ascii="Century Gothic" w:hAnsi="Century Gothic"/>
                <w:sz w:val="18"/>
                <w:lang w:val="en-GB"/>
              </w:rPr>
              <w:t>N/A</w:t>
            </w:r>
          </w:p>
        </w:tc>
        <w:tc>
          <w:tcPr>
            <w:tcW w:w="1149" w:type="pct"/>
            <w:shd w:val="clear" w:color="auto" w:fill="D9D9D9" w:themeFill="background1" w:themeFillShade="D9"/>
          </w:tcPr>
          <w:p w14:paraId="72DE6395" w14:textId="2BBDC91F"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921" w:type="pct"/>
            <w:shd w:val="clear" w:color="auto" w:fill="D9D9D9" w:themeFill="background1" w:themeFillShade="D9"/>
          </w:tcPr>
          <w:p w14:paraId="589F38AC" w14:textId="2A6441C2"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997" w:type="pct"/>
            <w:shd w:val="clear" w:color="auto" w:fill="D9D9D9" w:themeFill="background1" w:themeFillShade="D9"/>
          </w:tcPr>
          <w:p w14:paraId="6F4E0DE6" w14:textId="0D486BA9"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569" w:type="pct"/>
            <w:shd w:val="clear" w:color="auto" w:fill="D9D9D9" w:themeFill="background1" w:themeFillShade="D9"/>
          </w:tcPr>
          <w:p w14:paraId="20783495" w14:textId="7E31D81A" w:rsidR="00B311A7" w:rsidRPr="004A44E6" w:rsidRDefault="000E7600" w:rsidP="001C1E15">
            <w:pPr>
              <w:jc w:val="both"/>
              <w:rPr>
                <w:rFonts w:ascii="Century Gothic" w:hAnsi="Century Gothic"/>
                <w:sz w:val="18"/>
                <w:lang w:val="en-GB"/>
              </w:rPr>
            </w:pPr>
            <w:r w:rsidRPr="004A44E6">
              <w:rPr>
                <w:rFonts w:ascii="Century Gothic" w:hAnsi="Century Gothic"/>
                <w:sz w:val="18"/>
                <w:lang w:val="en-GB"/>
              </w:rPr>
              <w:t>N/A</w:t>
            </w:r>
          </w:p>
        </w:tc>
      </w:tr>
      <w:tr w:rsidR="006D0617" w:rsidRPr="00523824" w14:paraId="131EA9DD" w14:textId="77777777" w:rsidTr="004A44E6">
        <w:tc>
          <w:tcPr>
            <w:tcW w:w="367" w:type="pct"/>
            <w:shd w:val="clear" w:color="auto" w:fill="DBE5F1" w:themeFill="accent1" w:themeFillTint="33"/>
          </w:tcPr>
          <w:p w14:paraId="32FCE75C" w14:textId="77777777" w:rsidR="00B311A7" w:rsidRPr="00523824" w:rsidRDefault="00B311A7" w:rsidP="001C1E15">
            <w:pPr>
              <w:jc w:val="both"/>
              <w:rPr>
                <w:rFonts w:ascii="Century Gothic" w:hAnsi="Century Gothic"/>
                <w:sz w:val="18"/>
                <w:lang w:val="en-GB"/>
              </w:rPr>
            </w:pPr>
            <w:r w:rsidRPr="00523824">
              <w:rPr>
                <w:rFonts w:ascii="Century Gothic" w:hAnsi="Century Gothic"/>
                <w:sz w:val="18"/>
                <w:lang w:val="en-GB"/>
              </w:rPr>
              <w:t>2014</w:t>
            </w:r>
          </w:p>
        </w:tc>
        <w:tc>
          <w:tcPr>
            <w:tcW w:w="997" w:type="pct"/>
            <w:shd w:val="clear" w:color="auto" w:fill="D9D9D9" w:themeFill="background1" w:themeFillShade="D9"/>
          </w:tcPr>
          <w:p w14:paraId="2B448D83" w14:textId="7C52EB00" w:rsidR="00B311A7" w:rsidRPr="004A44E6" w:rsidRDefault="000E7600" w:rsidP="001C1E15">
            <w:pPr>
              <w:jc w:val="both"/>
              <w:rPr>
                <w:rFonts w:ascii="Century Gothic" w:hAnsi="Century Gothic"/>
                <w:sz w:val="18"/>
                <w:lang w:val="en-GB"/>
              </w:rPr>
            </w:pPr>
            <w:r w:rsidRPr="004A44E6">
              <w:rPr>
                <w:rFonts w:ascii="Century Gothic" w:hAnsi="Century Gothic"/>
                <w:sz w:val="18"/>
                <w:lang w:val="en-GB"/>
              </w:rPr>
              <w:t>N/A</w:t>
            </w:r>
          </w:p>
        </w:tc>
        <w:tc>
          <w:tcPr>
            <w:tcW w:w="1149" w:type="pct"/>
            <w:shd w:val="clear" w:color="auto" w:fill="D9D9D9" w:themeFill="background1" w:themeFillShade="D9"/>
          </w:tcPr>
          <w:p w14:paraId="7FF5B34D" w14:textId="2AD98527"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921" w:type="pct"/>
            <w:shd w:val="clear" w:color="auto" w:fill="D9D9D9" w:themeFill="background1" w:themeFillShade="D9"/>
          </w:tcPr>
          <w:p w14:paraId="0FEC9393" w14:textId="633B8305"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997" w:type="pct"/>
            <w:shd w:val="clear" w:color="auto" w:fill="D9D9D9" w:themeFill="background1" w:themeFillShade="D9"/>
          </w:tcPr>
          <w:p w14:paraId="01E638F6" w14:textId="2E56E13A" w:rsidR="00B311A7" w:rsidRPr="004A44E6" w:rsidRDefault="00546F64" w:rsidP="001C1E15">
            <w:pPr>
              <w:jc w:val="both"/>
              <w:rPr>
                <w:rFonts w:ascii="Century Gothic" w:hAnsi="Century Gothic"/>
                <w:sz w:val="18"/>
                <w:lang w:val="en-GB"/>
              </w:rPr>
            </w:pPr>
            <w:r w:rsidRPr="004A44E6">
              <w:rPr>
                <w:rFonts w:ascii="Century Gothic" w:hAnsi="Century Gothic"/>
                <w:sz w:val="18"/>
                <w:lang w:val="en-GB"/>
              </w:rPr>
              <w:t>N/A</w:t>
            </w:r>
          </w:p>
        </w:tc>
        <w:tc>
          <w:tcPr>
            <w:tcW w:w="569" w:type="pct"/>
            <w:shd w:val="clear" w:color="auto" w:fill="D9D9D9" w:themeFill="background1" w:themeFillShade="D9"/>
          </w:tcPr>
          <w:p w14:paraId="7823DE93" w14:textId="7AA26954" w:rsidR="00B311A7" w:rsidRPr="004A44E6" w:rsidRDefault="000E7600" w:rsidP="001C1E15">
            <w:pPr>
              <w:jc w:val="both"/>
              <w:rPr>
                <w:rFonts w:ascii="Century Gothic" w:hAnsi="Century Gothic"/>
                <w:sz w:val="18"/>
                <w:lang w:val="en-GB"/>
              </w:rPr>
            </w:pPr>
            <w:r w:rsidRPr="004A44E6">
              <w:rPr>
                <w:rFonts w:ascii="Century Gothic" w:hAnsi="Century Gothic"/>
                <w:sz w:val="18"/>
                <w:lang w:val="en-GB"/>
              </w:rPr>
              <w:t>N/A</w:t>
            </w:r>
          </w:p>
        </w:tc>
      </w:tr>
      <w:tr w:rsidR="006D0617" w:rsidRPr="00523824" w14:paraId="7459E962" w14:textId="77777777" w:rsidTr="004A44E6">
        <w:tc>
          <w:tcPr>
            <w:tcW w:w="367" w:type="pct"/>
            <w:shd w:val="clear" w:color="auto" w:fill="DBE5F1" w:themeFill="accent1" w:themeFillTint="33"/>
          </w:tcPr>
          <w:p w14:paraId="1A674274" w14:textId="77777777" w:rsidR="00B311A7" w:rsidRPr="00523824" w:rsidRDefault="00B311A7" w:rsidP="001C1E15">
            <w:pPr>
              <w:jc w:val="both"/>
              <w:rPr>
                <w:rFonts w:ascii="Century Gothic" w:hAnsi="Century Gothic"/>
                <w:sz w:val="18"/>
                <w:lang w:val="en-GB"/>
              </w:rPr>
            </w:pPr>
            <w:r w:rsidRPr="00523824">
              <w:rPr>
                <w:rFonts w:ascii="Century Gothic" w:hAnsi="Century Gothic"/>
                <w:sz w:val="18"/>
                <w:lang w:val="en-GB"/>
              </w:rPr>
              <w:t>2015</w:t>
            </w:r>
          </w:p>
        </w:tc>
        <w:tc>
          <w:tcPr>
            <w:tcW w:w="997" w:type="pct"/>
            <w:shd w:val="clear" w:color="auto" w:fill="D9D9D9" w:themeFill="background1" w:themeFillShade="D9"/>
          </w:tcPr>
          <w:p w14:paraId="066D1457" w14:textId="656F5789"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N/A</w:t>
            </w:r>
          </w:p>
        </w:tc>
        <w:tc>
          <w:tcPr>
            <w:tcW w:w="1149" w:type="pct"/>
            <w:shd w:val="clear" w:color="auto" w:fill="D9D9D9" w:themeFill="background1" w:themeFillShade="D9"/>
          </w:tcPr>
          <w:p w14:paraId="21B209ED" w14:textId="725619E7"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0</w:t>
            </w:r>
          </w:p>
        </w:tc>
        <w:tc>
          <w:tcPr>
            <w:tcW w:w="921" w:type="pct"/>
            <w:shd w:val="clear" w:color="auto" w:fill="D9D9D9" w:themeFill="background1" w:themeFillShade="D9"/>
          </w:tcPr>
          <w:p w14:paraId="4633850A" w14:textId="6C2CB43E"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0</w:t>
            </w:r>
          </w:p>
        </w:tc>
        <w:tc>
          <w:tcPr>
            <w:tcW w:w="997" w:type="pct"/>
            <w:shd w:val="clear" w:color="auto" w:fill="D9D9D9" w:themeFill="background1" w:themeFillShade="D9"/>
          </w:tcPr>
          <w:p w14:paraId="4183B676" w14:textId="0A0B9C26"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0</w:t>
            </w:r>
          </w:p>
        </w:tc>
        <w:tc>
          <w:tcPr>
            <w:tcW w:w="569" w:type="pct"/>
            <w:shd w:val="clear" w:color="auto" w:fill="D9D9D9" w:themeFill="background1" w:themeFillShade="D9"/>
          </w:tcPr>
          <w:p w14:paraId="74FBA0EF" w14:textId="7A720763"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MRVA</w:t>
            </w:r>
          </w:p>
        </w:tc>
      </w:tr>
      <w:tr w:rsidR="006D0617" w:rsidRPr="00523824" w14:paraId="12B4A2EE" w14:textId="77777777" w:rsidTr="004A44E6">
        <w:tc>
          <w:tcPr>
            <w:tcW w:w="367" w:type="pct"/>
            <w:shd w:val="clear" w:color="auto" w:fill="DBE5F1" w:themeFill="accent1" w:themeFillTint="33"/>
          </w:tcPr>
          <w:p w14:paraId="385B387B" w14:textId="77777777" w:rsidR="00B311A7" w:rsidRPr="00523824" w:rsidRDefault="00B311A7" w:rsidP="001C1E15">
            <w:pPr>
              <w:jc w:val="both"/>
              <w:rPr>
                <w:rFonts w:ascii="Century Gothic" w:hAnsi="Century Gothic"/>
                <w:sz w:val="18"/>
                <w:lang w:val="en-GB"/>
              </w:rPr>
            </w:pPr>
            <w:r w:rsidRPr="00523824">
              <w:rPr>
                <w:rFonts w:ascii="Century Gothic" w:hAnsi="Century Gothic"/>
                <w:sz w:val="18"/>
                <w:lang w:val="en-GB"/>
              </w:rPr>
              <w:t>2016</w:t>
            </w:r>
          </w:p>
        </w:tc>
        <w:tc>
          <w:tcPr>
            <w:tcW w:w="997" w:type="pct"/>
            <w:shd w:val="clear" w:color="auto" w:fill="D9D9D9" w:themeFill="background1" w:themeFillShade="D9"/>
          </w:tcPr>
          <w:p w14:paraId="1E92A578" w14:textId="7B7E04EC"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N/A</w:t>
            </w:r>
          </w:p>
        </w:tc>
        <w:tc>
          <w:tcPr>
            <w:tcW w:w="1149" w:type="pct"/>
            <w:shd w:val="clear" w:color="auto" w:fill="D9D9D9" w:themeFill="background1" w:themeFillShade="D9"/>
          </w:tcPr>
          <w:p w14:paraId="7AE2BDD0" w14:textId="31ABF630"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68</w:t>
            </w:r>
          </w:p>
        </w:tc>
        <w:tc>
          <w:tcPr>
            <w:tcW w:w="921" w:type="pct"/>
            <w:shd w:val="clear" w:color="auto" w:fill="D9D9D9" w:themeFill="background1" w:themeFillShade="D9"/>
          </w:tcPr>
          <w:p w14:paraId="6798D0DE" w14:textId="039259E7"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29</w:t>
            </w:r>
          </w:p>
        </w:tc>
        <w:tc>
          <w:tcPr>
            <w:tcW w:w="997" w:type="pct"/>
            <w:shd w:val="clear" w:color="auto" w:fill="D9D9D9" w:themeFill="background1" w:themeFillShade="D9"/>
          </w:tcPr>
          <w:p w14:paraId="6C91BBAC" w14:textId="21582C47"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2</w:t>
            </w:r>
          </w:p>
        </w:tc>
        <w:tc>
          <w:tcPr>
            <w:tcW w:w="569" w:type="pct"/>
            <w:shd w:val="clear" w:color="auto" w:fill="D9D9D9" w:themeFill="background1" w:themeFillShade="D9"/>
          </w:tcPr>
          <w:p w14:paraId="2DD9AC52" w14:textId="3674F56B"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MRVA</w:t>
            </w:r>
          </w:p>
        </w:tc>
      </w:tr>
      <w:tr w:rsidR="006D0617" w:rsidRPr="00523824" w14:paraId="0E7C1720" w14:textId="77777777" w:rsidTr="004A44E6">
        <w:tc>
          <w:tcPr>
            <w:tcW w:w="367" w:type="pct"/>
            <w:shd w:val="clear" w:color="auto" w:fill="DBE5F1" w:themeFill="accent1" w:themeFillTint="33"/>
          </w:tcPr>
          <w:p w14:paraId="36DB2F78" w14:textId="77777777" w:rsidR="00B311A7" w:rsidRPr="00523824" w:rsidRDefault="00B311A7" w:rsidP="001C1E15">
            <w:pPr>
              <w:jc w:val="both"/>
              <w:rPr>
                <w:rFonts w:ascii="Century Gothic" w:hAnsi="Century Gothic"/>
                <w:sz w:val="18"/>
                <w:lang w:val="en-GB"/>
              </w:rPr>
            </w:pPr>
            <w:r w:rsidRPr="00523824">
              <w:rPr>
                <w:rFonts w:ascii="Century Gothic" w:hAnsi="Century Gothic"/>
                <w:sz w:val="18"/>
                <w:lang w:val="en-GB"/>
              </w:rPr>
              <w:lastRenderedPageBreak/>
              <w:t>2017</w:t>
            </w:r>
          </w:p>
        </w:tc>
        <w:tc>
          <w:tcPr>
            <w:tcW w:w="997" w:type="pct"/>
            <w:shd w:val="clear" w:color="auto" w:fill="D9D9D9" w:themeFill="background1" w:themeFillShade="D9"/>
          </w:tcPr>
          <w:p w14:paraId="11B8F27A" w14:textId="2C8FCFFD"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N/A</w:t>
            </w:r>
          </w:p>
        </w:tc>
        <w:tc>
          <w:tcPr>
            <w:tcW w:w="1149" w:type="pct"/>
            <w:shd w:val="clear" w:color="auto" w:fill="D9D9D9" w:themeFill="background1" w:themeFillShade="D9"/>
          </w:tcPr>
          <w:p w14:paraId="7F3AEAAA" w14:textId="1D589B68"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347</w:t>
            </w:r>
            <w:r w:rsidR="00780EF9">
              <w:rPr>
                <w:rFonts w:ascii="Century Gothic" w:hAnsi="Century Gothic"/>
                <w:sz w:val="18"/>
                <w:lang w:val="en-GB"/>
              </w:rPr>
              <w:t xml:space="preserve"> (263 of which are still under consideration)</w:t>
            </w:r>
          </w:p>
        </w:tc>
        <w:tc>
          <w:tcPr>
            <w:tcW w:w="921" w:type="pct"/>
            <w:shd w:val="clear" w:color="auto" w:fill="D9D9D9" w:themeFill="background1" w:themeFillShade="D9"/>
          </w:tcPr>
          <w:p w14:paraId="12496C61" w14:textId="208FACFD"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83</w:t>
            </w:r>
          </w:p>
        </w:tc>
        <w:tc>
          <w:tcPr>
            <w:tcW w:w="997" w:type="pct"/>
            <w:shd w:val="clear" w:color="auto" w:fill="D9D9D9" w:themeFill="background1" w:themeFillShade="D9"/>
          </w:tcPr>
          <w:p w14:paraId="25CF7904" w14:textId="4EA765B3"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1</w:t>
            </w:r>
          </w:p>
        </w:tc>
        <w:tc>
          <w:tcPr>
            <w:tcW w:w="569" w:type="pct"/>
            <w:shd w:val="clear" w:color="auto" w:fill="D9D9D9" w:themeFill="background1" w:themeFillShade="D9"/>
          </w:tcPr>
          <w:p w14:paraId="236255A3" w14:textId="3FF7D2A0" w:rsidR="00B311A7" w:rsidRPr="004A44E6" w:rsidRDefault="000E06A6" w:rsidP="001C1E15">
            <w:pPr>
              <w:jc w:val="both"/>
              <w:rPr>
                <w:rFonts w:ascii="Century Gothic" w:hAnsi="Century Gothic"/>
                <w:sz w:val="18"/>
                <w:lang w:val="en-GB"/>
              </w:rPr>
            </w:pPr>
            <w:r w:rsidRPr="004A44E6">
              <w:rPr>
                <w:rFonts w:ascii="Century Gothic" w:hAnsi="Century Gothic"/>
                <w:sz w:val="18"/>
                <w:lang w:val="en-GB"/>
              </w:rPr>
              <w:t>MRVA</w:t>
            </w:r>
          </w:p>
        </w:tc>
      </w:tr>
    </w:tbl>
    <w:p w14:paraId="0EC0D189" w14:textId="78F5BA62" w:rsidR="00A26583" w:rsidRDefault="00A26583" w:rsidP="006D0617">
      <w:pPr>
        <w:pStyle w:val="MBT"/>
        <w:rPr>
          <w:lang w:val="en-GB"/>
        </w:rPr>
      </w:pPr>
    </w:p>
    <w:p w14:paraId="2329BCD3" w14:textId="77777777" w:rsidR="00346D85" w:rsidRDefault="00346D85" w:rsidP="00346D85">
      <w:pPr>
        <w:pStyle w:val="MBT"/>
        <w:rPr>
          <w:lang w:val="en-GB"/>
        </w:rPr>
      </w:pPr>
      <w:r>
        <w:rPr>
          <w:lang w:val="en-GB"/>
        </w:rPr>
        <w:t xml:space="preserve">The GRP does not involve applications for residence. GRP beneficiaries apply for entry and stay in Malta either through the MRVP or by requesting residence under Regulation 12 of the Immigration Regulations. Disaggregated data are not available. </w:t>
      </w:r>
    </w:p>
    <w:p w14:paraId="44ACE1F1" w14:textId="2B58A8F5" w:rsidR="00780EF9" w:rsidRDefault="00346D85" w:rsidP="006D0617">
      <w:pPr>
        <w:pStyle w:val="MBT"/>
        <w:rPr>
          <w:lang w:val="en-GB"/>
        </w:rPr>
      </w:pPr>
      <w:r>
        <w:rPr>
          <w:lang w:val="en-GB"/>
        </w:rPr>
        <w:t xml:space="preserve"> </w:t>
      </w:r>
    </w:p>
    <w:p w14:paraId="3D7B9F92" w14:textId="7422D1A1" w:rsidR="00703646" w:rsidRPr="00703646" w:rsidRDefault="00FC0F9A" w:rsidP="006D0617">
      <w:pPr>
        <w:pStyle w:val="MH2"/>
        <w:spacing w:after="0"/>
        <w:outlineLvl w:val="9"/>
      </w:pPr>
      <w:bookmarkStart w:id="18" w:name="_Toc379109061"/>
      <w:r w:rsidRPr="00523824">
        <w:t>Information on applications</w:t>
      </w:r>
      <w:r>
        <w:t xml:space="preserve"> by family Members</w:t>
      </w:r>
      <w:bookmarkEnd w:id="18"/>
    </w:p>
    <w:p w14:paraId="7B3641A8" w14:textId="77777777" w:rsidR="006D0617" w:rsidRDefault="006D0617" w:rsidP="006D0617">
      <w:pPr>
        <w:pStyle w:val="MBT"/>
        <w:rPr>
          <w:lang w:val="en-GB"/>
        </w:rPr>
      </w:pPr>
    </w:p>
    <w:p w14:paraId="1AF6A082" w14:textId="556B7707" w:rsidR="00A2632B" w:rsidRPr="00C83D3F" w:rsidRDefault="00A2632B" w:rsidP="00C83D3F">
      <w:pPr>
        <w:pStyle w:val="MBT"/>
        <w:numPr>
          <w:ilvl w:val="0"/>
          <w:numId w:val="36"/>
        </w:numPr>
        <w:rPr>
          <w:b/>
          <w:lang w:val="en-GB"/>
        </w:rPr>
      </w:pPr>
      <w:r w:rsidRPr="00C83D3F">
        <w:rPr>
          <w:b/>
          <w:lang w:val="en-GB"/>
        </w:rPr>
        <w:t>MRVP</w:t>
      </w:r>
    </w:p>
    <w:p w14:paraId="16C217DE" w14:textId="77777777" w:rsidR="00A2632B" w:rsidRDefault="00A2632B" w:rsidP="00C83D3F">
      <w:pPr>
        <w:pStyle w:val="MBT"/>
        <w:ind w:left="1080"/>
        <w:rPr>
          <w:lang w:val="en-GB"/>
        </w:rPr>
      </w:pPr>
    </w:p>
    <w:p w14:paraId="7FC20CD8" w14:textId="099E5A30" w:rsidR="00F72A78" w:rsidRPr="00A2632B" w:rsidRDefault="0069270A" w:rsidP="00A2632B">
      <w:pPr>
        <w:pStyle w:val="MBT"/>
        <w:rPr>
          <w:lang w:val="en-GB"/>
        </w:rPr>
      </w:pPr>
      <w:r w:rsidRPr="00A2632B">
        <w:rPr>
          <w:lang w:val="en-GB"/>
        </w:rPr>
        <w:t xml:space="preserve">LN 288/2015 distinguishes between main applicants and dependants. </w:t>
      </w:r>
    </w:p>
    <w:p w14:paraId="3AEBAFDB" w14:textId="77777777" w:rsidR="00F72A78" w:rsidRDefault="00F72A78" w:rsidP="006D0617">
      <w:pPr>
        <w:pStyle w:val="MBT"/>
        <w:rPr>
          <w:lang w:val="en-GB"/>
        </w:rPr>
      </w:pPr>
    </w:p>
    <w:p w14:paraId="1AB9DCC2" w14:textId="5273AE1F" w:rsidR="00FC0F9A" w:rsidRDefault="0069270A" w:rsidP="006D0617">
      <w:pPr>
        <w:pStyle w:val="MBT"/>
        <w:rPr>
          <w:lang w:val="en-GB"/>
        </w:rPr>
      </w:pPr>
      <w:r>
        <w:rPr>
          <w:lang w:val="en-GB"/>
        </w:rPr>
        <w:t xml:space="preserve">A </w:t>
      </w:r>
      <w:r w:rsidRPr="004A44E6">
        <w:rPr>
          <w:b/>
          <w:lang w:val="en-GB"/>
        </w:rPr>
        <w:t>broad range of family members qualify as dependants</w:t>
      </w:r>
      <w:r>
        <w:rPr>
          <w:lang w:val="en-GB"/>
        </w:rPr>
        <w:t xml:space="preserve"> within the meaning of LN 288/2015</w:t>
      </w:r>
      <w:r w:rsidR="00617383">
        <w:rPr>
          <w:lang w:val="en-GB"/>
        </w:rPr>
        <w:t>:</w:t>
      </w:r>
      <w:r>
        <w:rPr>
          <w:rStyle w:val="FootnoteReference"/>
          <w:lang w:val="en-GB"/>
        </w:rPr>
        <w:footnoteReference w:id="101"/>
      </w:r>
      <w:r>
        <w:rPr>
          <w:lang w:val="en-GB"/>
        </w:rPr>
        <w:t xml:space="preserve"> </w:t>
      </w:r>
    </w:p>
    <w:p w14:paraId="76D10452" w14:textId="77777777" w:rsidR="00703646" w:rsidRDefault="00703646" w:rsidP="006D0617">
      <w:pPr>
        <w:pStyle w:val="MBT"/>
        <w:rPr>
          <w:lang w:val="en-GB"/>
        </w:rPr>
      </w:pPr>
    </w:p>
    <w:p w14:paraId="6756AC1B" w14:textId="1C789460" w:rsidR="00FC0F9A" w:rsidRDefault="00FC0F9A" w:rsidP="00FC0F9A">
      <w:pPr>
        <w:pStyle w:val="MBT"/>
        <w:numPr>
          <w:ilvl w:val="0"/>
          <w:numId w:val="27"/>
        </w:numPr>
        <w:rPr>
          <w:lang w:val="en-GB"/>
        </w:rPr>
      </w:pPr>
      <w:r>
        <w:rPr>
          <w:lang w:val="en-GB"/>
        </w:rPr>
        <w:t>The main applicant’s spo</w:t>
      </w:r>
      <w:r w:rsidR="00703646">
        <w:rPr>
          <w:lang w:val="en-GB"/>
        </w:rPr>
        <w:t xml:space="preserve">use in a monogamous marriage or </w:t>
      </w:r>
      <w:r>
        <w:rPr>
          <w:lang w:val="en-GB"/>
        </w:rPr>
        <w:t xml:space="preserve">in another relationship having the same or similar status to marriage, unless the Minister authorises otherwise on a </w:t>
      </w:r>
      <w:r w:rsidR="00703646">
        <w:rPr>
          <w:lang w:val="en-GB"/>
        </w:rPr>
        <w:t>case-by-case</w:t>
      </w:r>
      <w:r>
        <w:rPr>
          <w:lang w:val="en-GB"/>
        </w:rPr>
        <w:t xml:space="preserve"> basis.</w:t>
      </w:r>
    </w:p>
    <w:p w14:paraId="03157967" w14:textId="489DB868" w:rsidR="00FC0F9A" w:rsidRDefault="00703646" w:rsidP="00FC0F9A">
      <w:pPr>
        <w:pStyle w:val="MBT"/>
        <w:numPr>
          <w:ilvl w:val="0"/>
          <w:numId w:val="27"/>
        </w:numPr>
        <w:rPr>
          <w:lang w:val="en-GB"/>
        </w:rPr>
      </w:pPr>
      <w:r>
        <w:rPr>
          <w:lang w:val="en-GB"/>
        </w:rPr>
        <w:t>A child, including an</w:t>
      </w:r>
      <w:r w:rsidR="00FC0F9A">
        <w:rPr>
          <w:lang w:val="en-GB"/>
        </w:rPr>
        <w:t xml:space="preserve"> adopted child of the main applicant or of his/her spouse, who at the time of application is:</w:t>
      </w:r>
    </w:p>
    <w:p w14:paraId="69DF25FA" w14:textId="77777777" w:rsidR="00FC0F9A" w:rsidRDefault="00FC0F9A" w:rsidP="0038535C">
      <w:pPr>
        <w:pStyle w:val="MBT"/>
        <w:numPr>
          <w:ilvl w:val="0"/>
          <w:numId w:val="29"/>
        </w:numPr>
        <w:rPr>
          <w:lang w:val="en-GB"/>
        </w:rPr>
      </w:pPr>
      <w:r>
        <w:rPr>
          <w:lang w:val="en-GB"/>
        </w:rPr>
        <w:t>under 18 years of age;</w:t>
      </w:r>
    </w:p>
    <w:p w14:paraId="30C0E58E" w14:textId="1957D7A6" w:rsidR="00FC0F9A" w:rsidRDefault="00FC0F9A" w:rsidP="0038535C">
      <w:pPr>
        <w:pStyle w:val="MBT"/>
        <w:numPr>
          <w:ilvl w:val="0"/>
          <w:numId w:val="29"/>
        </w:numPr>
        <w:rPr>
          <w:lang w:val="en-GB"/>
        </w:rPr>
      </w:pPr>
      <w:r w:rsidRPr="00FE1647">
        <w:rPr>
          <w:lang w:val="en-GB"/>
        </w:rPr>
        <w:t>not yet born or no</w:t>
      </w:r>
      <w:r>
        <w:rPr>
          <w:lang w:val="en-GB"/>
        </w:rPr>
        <w:t>t yet ado</w:t>
      </w:r>
      <w:r w:rsidRPr="00FE1647">
        <w:rPr>
          <w:lang w:val="en-GB"/>
        </w:rPr>
        <w:t xml:space="preserve">pted, and is born or adopted after the </w:t>
      </w:r>
      <w:r w:rsidR="006D0617">
        <w:rPr>
          <w:lang w:val="en-GB"/>
        </w:rPr>
        <w:t>‘</w:t>
      </w:r>
      <w:r w:rsidRPr="006D0617">
        <w:rPr>
          <w:lang w:val="en-GB"/>
        </w:rPr>
        <w:t>appointed day</w:t>
      </w:r>
      <w:r w:rsidR="006D0617">
        <w:rPr>
          <w:lang w:val="en-GB"/>
        </w:rPr>
        <w:t>’</w:t>
      </w:r>
      <w:r w:rsidR="0038535C">
        <w:rPr>
          <w:rStyle w:val="FootnoteReference"/>
          <w:lang w:val="en-GB"/>
        </w:rPr>
        <w:footnoteReference w:id="102"/>
      </w:r>
      <w:r w:rsidR="006D0617">
        <w:rPr>
          <w:lang w:val="en-GB"/>
        </w:rPr>
        <w:t>, that is, the date on which the MRVA</w:t>
      </w:r>
      <w:r w:rsidR="0038535C">
        <w:rPr>
          <w:lang w:val="en-GB"/>
        </w:rPr>
        <w:t xml:space="preserve"> determines in writing that a beneficiary is issued a certificate under LN 288/2015</w:t>
      </w:r>
      <w:r w:rsidRPr="006D0617">
        <w:rPr>
          <w:lang w:val="en-GB"/>
        </w:rPr>
        <w:t>;</w:t>
      </w:r>
    </w:p>
    <w:p w14:paraId="73333B1F" w14:textId="65B83FC0" w:rsidR="00FC0F9A" w:rsidRPr="00FE1647" w:rsidRDefault="00FC0F9A" w:rsidP="0038535C">
      <w:pPr>
        <w:pStyle w:val="MBT"/>
        <w:numPr>
          <w:ilvl w:val="0"/>
          <w:numId w:val="29"/>
        </w:numPr>
        <w:rPr>
          <w:lang w:val="en-GB"/>
        </w:rPr>
      </w:pPr>
      <w:r>
        <w:rPr>
          <w:lang w:val="en-GB"/>
        </w:rPr>
        <w:t xml:space="preserve">over 18 years of age, not married, and who proves to the Minister’s satisfaction that </w:t>
      </w:r>
      <w:r w:rsidR="00703646">
        <w:rPr>
          <w:lang w:val="en-GB"/>
        </w:rPr>
        <w:t>s/</w:t>
      </w:r>
      <w:r>
        <w:rPr>
          <w:lang w:val="en-GB"/>
        </w:rPr>
        <w:t>he is not economically active</w:t>
      </w:r>
      <w:r>
        <w:rPr>
          <w:rStyle w:val="FootnoteReference"/>
          <w:lang w:val="en-GB"/>
        </w:rPr>
        <w:footnoteReference w:id="103"/>
      </w:r>
      <w:r>
        <w:rPr>
          <w:lang w:val="en-GB"/>
        </w:rPr>
        <w:t xml:space="preserve"> and is principally dependant on the main applicant.</w:t>
      </w:r>
    </w:p>
    <w:p w14:paraId="0F6FF97E" w14:textId="77777777" w:rsidR="00FC0F9A" w:rsidRDefault="00FC0F9A" w:rsidP="00FC0F9A">
      <w:pPr>
        <w:pStyle w:val="MBT"/>
        <w:numPr>
          <w:ilvl w:val="0"/>
          <w:numId w:val="27"/>
        </w:numPr>
        <w:rPr>
          <w:lang w:val="en-GB"/>
        </w:rPr>
      </w:pPr>
      <w:r>
        <w:rPr>
          <w:lang w:val="en-GB"/>
        </w:rPr>
        <w:t>A parent or grandparent of the main applicant of his/her spouse who proves to the Minister’s satisfaction that at the time of application s/he is not economically active and is principally dependant on the main applicant.</w:t>
      </w:r>
    </w:p>
    <w:p w14:paraId="55C31989" w14:textId="4F388331" w:rsidR="00FC0F9A" w:rsidRDefault="00FC0F9A" w:rsidP="00FC0F9A">
      <w:pPr>
        <w:pStyle w:val="MBT"/>
        <w:numPr>
          <w:ilvl w:val="0"/>
          <w:numId w:val="27"/>
        </w:numPr>
        <w:rPr>
          <w:lang w:val="en-GB"/>
        </w:rPr>
      </w:pPr>
      <w:r>
        <w:rPr>
          <w:lang w:val="en-GB"/>
        </w:rPr>
        <w:t>An adult child of the main applica</w:t>
      </w:r>
      <w:r w:rsidR="0069270A">
        <w:rPr>
          <w:lang w:val="en-GB"/>
        </w:rPr>
        <w:t>nt</w:t>
      </w:r>
      <w:r>
        <w:rPr>
          <w:lang w:val="en-GB"/>
        </w:rPr>
        <w:t xml:space="preserve"> or of his/her spouse who has been certified by a recognised medical professional/authority as having a disability in terms of the Equal Opportunities (Persons with Disability) Act</w:t>
      </w:r>
      <w:r w:rsidR="001C3818">
        <w:rPr>
          <w:lang w:val="en-GB"/>
        </w:rPr>
        <w:t>.</w:t>
      </w:r>
      <w:r w:rsidR="0069270A">
        <w:rPr>
          <w:rStyle w:val="FootnoteReference"/>
          <w:lang w:val="en-GB"/>
        </w:rPr>
        <w:footnoteReference w:id="104"/>
      </w:r>
    </w:p>
    <w:p w14:paraId="38B7708A" w14:textId="77777777" w:rsidR="00FC0F9A" w:rsidRDefault="00FC0F9A" w:rsidP="00FC0F9A">
      <w:pPr>
        <w:pStyle w:val="MBT"/>
        <w:rPr>
          <w:lang w:val="en-GB"/>
        </w:rPr>
      </w:pPr>
    </w:p>
    <w:p w14:paraId="70653AD1" w14:textId="465AF206" w:rsidR="00FC0F9A" w:rsidRDefault="00FC0F9A" w:rsidP="00FC0F9A">
      <w:pPr>
        <w:pStyle w:val="MBT"/>
        <w:rPr>
          <w:lang w:val="en-GB"/>
        </w:rPr>
      </w:pPr>
      <w:r>
        <w:rPr>
          <w:lang w:val="en-GB"/>
        </w:rPr>
        <w:t xml:space="preserve">In any case, the </w:t>
      </w:r>
      <w:r w:rsidRPr="004A44E6">
        <w:rPr>
          <w:b/>
          <w:lang w:val="en-GB"/>
        </w:rPr>
        <w:t>person must not be a beneficiary under</w:t>
      </w:r>
      <w:r>
        <w:rPr>
          <w:lang w:val="en-GB"/>
        </w:rPr>
        <w:t xml:space="preserve"> the </w:t>
      </w:r>
      <w:r w:rsidR="00DB509D" w:rsidRPr="004618A2">
        <w:rPr>
          <w:lang w:val="en-GB"/>
        </w:rPr>
        <w:t>Residen</w:t>
      </w:r>
      <w:r w:rsidR="00DB509D">
        <w:rPr>
          <w:lang w:val="en-GB"/>
        </w:rPr>
        <w:t>ts</w:t>
      </w:r>
      <w:r w:rsidR="00DB509D" w:rsidRPr="004618A2">
        <w:rPr>
          <w:lang w:val="en-GB"/>
        </w:rPr>
        <w:t xml:space="preserve"> </w:t>
      </w:r>
      <w:r w:rsidRPr="004618A2">
        <w:rPr>
          <w:lang w:val="en-GB"/>
        </w:rPr>
        <w:t xml:space="preserve">Scheme Regulations, the High Net Worth Individuals – EU/EEA/Swiss Nationals Rules, the </w:t>
      </w:r>
      <w:r>
        <w:rPr>
          <w:lang w:val="en-GB"/>
        </w:rPr>
        <w:t xml:space="preserve">Malta Retirement Programme Rules, the </w:t>
      </w:r>
      <w:r w:rsidRPr="004618A2">
        <w:rPr>
          <w:lang w:val="en-GB"/>
        </w:rPr>
        <w:t>Residence Programme Rules, the Qualifying Employment in Innovation and Creativity Rules or the Highly Qualified Persons Rule</w:t>
      </w:r>
      <w:r>
        <w:rPr>
          <w:lang w:val="en-GB"/>
        </w:rPr>
        <w:t xml:space="preserve"> and must reside with the beneficiary in the qualifying property.</w:t>
      </w:r>
    </w:p>
    <w:p w14:paraId="768E5836" w14:textId="77777777" w:rsidR="00FC0F9A" w:rsidRDefault="00FC0F9A" w:rsidP="00FC0F9A">
      <w:pPr>
        <w:pStyle w:val="MBT"/>
        <w:rPr>
          <w:lang w:val="en-GB"/>
        </w:rPr>
      </w:pPr>
    </w:p>
    <w:p w14:paraId="4DDB0C39" w14:textId="041385BE" w:rsidR="00FC0F9A" w:rsidRPr="00090B2D" w:rsidRDefault="00FC0F9A" w:rsidP="00FC0F9A">
      <w:pPr>
        <w:pStyle w:val="MBT"/>
        <w:rPr>
          <w:lang w:val="en-GB"/>
        </w:rPr>
      </w:pPr>
      <w:r>
        <w:rPr>
          <w:lang w:val="en-GB"/>
        </w:rPr>
        <w:t xml:space="preserve">The beneficiary, as represented by a registered approved agent and/or accredited person </w:t>
      </w:r>
      <w:r w:rsidR="0038535C">
        <w:rPr>
          <w:lang w:val="en-GB"/>
        </w:rPr>
        <w:t xml:space="preserve">may also apply to the MRVA for </w:t>
      </w:r>
      <w:r>
        <w:rPr>
          <w:lang w:val="en-GB"/>
        </w:rPr>
        <w:t xml:space="preserve">a residence certificate for any </w:t>
      </w:r>
      <w:proofErr w:type="spellStart"/>
      <w:r>
        <w:rPr>
          <w:lang w:val="en-GB"/>
        </w:rPr>
        <w:t>dependant</w:t>
      </w:r>
      <w:proofErr w:type="spellEnd"/>
      <w:r>
        <w:rPr>
          <w:lang w:val="en-GB"/>
        </w:rPr>
        <w:t xml:space="preserve"> child, including an adopted child, of the main applicant </w:t>
      </w:r>
      <w:r w:rsidR="001C3818">
        <w:rPr>
          <w:lang w:val="en-GB"/>
        </w:rPr>
        <w:t xml:space="preserve">or </w:t>
      </w:r>
      <w:r>
        <w:rPr>
          <w:lang w:val="en-GB"/>
        </w:rPr>
        <w:t xml:space="preserve">of his/her </w:t>
      </w:r>
      <w:r w:rsidRPr="00090B2D">
        <w:rPr>
          <w:lang w:val="en-GB"/>
        </w:rPr>
        <w:t xml:space="preserve">spouse, who at the time of application is not yet </w:t>
      </w:r>
      <w:r w:rsidR="00CB200B" w:rsidRPr="00090B2D">
        <w:rPr>
          <w:lang w:val="en-GB"/>
        </w:rPr>
        <w:t xml:space="preserve">born or not yet adopted and is </w:t>
      </w:r>
      <w:r w:rsidRPr="0038535C">
        <w:rPr>
          <w:lang w:val="en-GB"/>
        </w:rPr>
        <w:t>born or adopted after</w:t>
      </w:r>
      <w:r w:rsidRPr="00090B2D">
        <w:rPr>
          <w:lang w:val="en-GB"/>
        </w:rPr>
        <w:t xml:space="preserve"> the </w:t>
      </w:r>
      <w:r w:rsidR="00090B2D" w:rsidRPr="00090B2D">
        <w:rPr>
          <w:lang w:val="en-GB"/>
        </w:rPr>
        <w:t>date on which the MRVA determines in writing that a residence certificate is to be issued</w:t>
      </w:r>
      <w:r w:rsidRPr="00090B2D">
        <w:rPr>
          <w:lang w:val="en-GB"/>
        </w:rPr>
        <w:t>. This is subject to a successful due diligence check</w:t>
      </w:r>
      <w:r w:rsidR="001C3818">
        <w:rPr>
          <w:lang w:val="en-GB"/>
        </w:rPr>
        <w:t>.</w:t>
      </w:r>
      <w:r w:rsidRPr="00090B2D">
        <w:rPr>
          <w:rStyle w:val="FootnoteReference"/>
          <w:lang w:val="en-GB"/>
        </w:rPr>
        <w:footnoteReference w:id="105"/>
      </w:r>
    </w:p>
    <w:p w14:paraId="6770C33E" w14:textId="77777777" w:rsidR="00FC0F9A" w:rsidRPr="00090B2D" w:rsidRDefault="00FC0F9A" w:rsidP="00FC0F9A">
      <w:pPr>
        <w:pStyle w:val="MBT"/>
        <w:rPr>
          <w:lang w:val="en-GB"/>
        </w:rPr>
      </w:pPr>
    </w:p>
    <w:p w14:paraId="6BFF07E0" w14:textId="5D25C180" w:rsidR="00FC0F9A" w:rsidRDefault="00CB200B" w:rsidP="00FC0F9A">
      <w:pPr>
        <w:pStyle w:val="MBT"/>
        <w:rPr>
          <w:lang w:val="en-GB"/>
        </w:rPr>
      </w:pPr>
      <w:r w:rsidRPr="00090B2D">
        <w:rPr>
          <w:lang w:val="en-GB"/>
        </w:rPr>
        <w:t>Similarly, the</w:t>
      </w:r>
      <w:r w:rsidR="00FC0F9A" w:rsidRPr="00090B2D">
        <w:rPr>
          <w:lang w:val="en-GB"/>
        </w:rPr>
        <w:t xml:space="preserve"> beneficiary</w:t>
      </w:r>
      <w:r w:rsidRPr="00090B2D">
        <w:rPr>
          <w:lang w:val="en-GB"/>
        </w:rPr>
        <w:t xml:space="preserve"> as</w:t>
      </w:r>
      <w:r w:rsidR="00FC0F9A" w:rsidRPr="00090B2D">
        <w:rPr>
          <w:lang w:val="en-GB"/>
        </w:rPr>
        <w:t xml:space="preserve"> represented by a registered</w:t>
      </w:r>
      <w:r w:rsidR="00FC0F9A">
        <w:rPr>
          <w:lang w:val="en-GB"/>
        </w:rPr>
        <w:t xml:space="preserve"> approved agent and/or accredited person can </w:t>
      </w:r>
      <w:r w:rsidR="00FC0F9A">
        <w:rPr>
          <w:lang w:val="en-GB"/>
        </w:rPr>
        <w:lastRenderedPageBreak/>
        <w:t>apply to the MRVA to include on the m</w:t>
      </w:r>
      <w:r>
        <w:rPr>
          <w:lang w:val="en-GB"/>
        </w:rPr>
        <w:t>ain beneficiary certificate,</w:t>
      </w:r>
      <w:r w:rsidR="00FC0F9A">
        <w:rPr>
          <w:lang w:val="en-GB"/>
        </w:rPr>
        <w:t xml:space="preserve"> against a </w:t>
      </w:r>
      <w:r w:rsidR="00FC0F9A" w:rsidRPr="004A44E6">
        <w:rPr>
          <w:b/>
          <w:lang w:val="en-GB"/>
        </w:rPr>
        <w:t>non-refundable supplementary administration fee of EUR 5,000 and subject to a successful due diligence check</w:t>
      </w:r>
      <w:r w:rsidR="00FC0F9A">
        <w:rPr>
          <w:lang w:val="en-GB"/>
        </w:rPr>
        <w:t>:</w:t>
      </w:r>
    </w:p>
    <w:p w14:paraId="31DDFADC" w14:textId="77777777" w:rsidR="00FC0F9A" w:rsidRDefault="00FC0F9A" w:rsidP="00FC0F9A">
      <w:pPr>
        <w:pStyle w:val="MBT"/>
        <w:rPr>
          <w:lang w:val="en-GB"/>
        </w:rPr>
      </w:pPr>
    </w:p>
    <w:p w14:paraId="2BEDA5B6" w14:textId="2BFD41D3" w:rsidR="00FC0F9A" w:rsidRDefault="00FC0F9A" w:rsidP="00FC0F9A">
      <w:pPr>
        <w:pStyle w:val="MBT"/>
        <w:numPr>
          <w:ilvl w:val="0"/>
          <w:numId w:val="26"/>
        </w:numPr>
        <w:rPr>
          <w:lang w:val="en-GB"/>
        </w:rPr>
      </w:pPr>
      <w:r>
        <w:rPr>
          <w:lang w:val="en-GB"/>
        </w:rPr>
        <w:t>The spouse or minor (under 18 years of age) child of a dependant</w:t>
      </w:r>
      <w:r w:rsidR="001C3818">
        <w:rPr>
          <w:lang w:val="en-GB"/>
        </w:rPr>
        <w:t>;</w:t>
      </w:r>
      <w:r>
        <w:rPr>
          <w:rStyle w:val="FootnoteReference"/>
          <w:lang w:val="en-GB"/>
        </w:rPr>
        <w:footnoteReference w:id="106"/>
      </w:r>
    </w:p>
    <w:p w14:paraId="56FAFE26" w14:textId="16BCDDDE" w:rsidR="00FC0F9A" w:rsidRDefault="00FC0F9A" w:rsidP="00FC0F9A">
      <w:pPr>
        <w:pStyle w:val="MBT"/>
        <w:numPr>
          <w:ilvl w:val="0"/>
          <w:numId w:val="26"/>
        </w:numPr>
        <w:rPr>
          <w:lang w:val="en-GB"/>
        </w:rPr>
      </w:pPr>
      <w:r w:rsidRPr="00F01711">
        <w:rPr>
          <w:lang w:val="en-GB"/>
        </w:rPr>
        <w:t>The beneficiary’s spouse or his/her spouse’s approved child who would have been previously accepted as a dependant in the residence certificate</w:t>
      </w:r>
      <w:r w:rsidR="001C3818">
        <w:rPr>
          <w:lang w:val="en-GB"/>
        </w:rPr>
        <w:t>;</w:t>
      </w:r>
      <w:r>
        <w:rPr>
          <w:rStyle w:val="FootnoteReference"/>
          <w:lang w:val="en-GB"/>
        </w:rPr>
        <w:footnoteReference w:id="107"/>
      </w:r>
    </w:p>
    <w:p w14:paraId="75F4D922" w14:textId="7C041145" w:rsidR="00FC0F9A" w:rsidRPr="00F01711" w:rsidRDefault="00FC0F9A" w:rsidP="00FC0F9A">
      <w:pPr>
        <w:pStyle w:val="MBT"/>
        <w:numPr>
          <w:ilvl w:val="0"/>
          <w:numId w:val="26"/>
        </w:numPr>
        <w:rPr>
          <w:lang w:val="en-GB"/>
        </w:rPr>
      </w:pPr>
      <w:r w:rsidRPr="00F01711">
        <w:rPr>
          <w:lang w:val="en-GB"/>
        </w:rPr>
        <w:t>Any dependant who</w:t>
      </w:r>
      <w:r w:rsidRPr="00090B2D">
        <w:rPr>
          <w:lang w:val="en-GB"/>
        </w:rPr>
        <w:t xml:space="preserve">, after </w:t>
      </w:r>
      <w:r w:rsidR="00090B2D" w:rsidRPr="00090B2D">
        <w:rPr>
          <w:lang w:val="en-GB"/>
        </w:rPr>
        <w:t>the date on which the MRVA determines in writing that a residence certificate is to be issued</w:t>
      </w:r>
      <w:r w:rsidR="00090B2D">
        <w:rPr>
          <w:lang w:val="en-GB"/>
        </w:rPr>
        <w:t>,</w:t>
      </w:r>
      <w:r w:rsidR="00090B2D" w:rsidRPr="00F01711">
        <w:rPr>
          <w:lang w:val="en-GB"/>
        </w:rPr>
        <w:t xml:space="preserve"> </w:t>
      </w:r>
      <w:r w:rsidRPr="00F01711">
        <w:rPr>
          <w:lang w:val="en-GB"/>
        </w:rPr>
        <w:t>is born to, or adopted by an approved chi</w:t>
      </w:r>
      <w:r>
        <w:rPr>
          <w:lang w:val="en-GB"/>
        </w:rPr>
        <w:t>l</w:t>
      </w:r>
      <w:r w:rsidRPr="00F01711">
        <w:rPr>
          <w:lang w:val="en-GB"/>
        </w:rPr>
        <w:t>d or his/her spouse, where such spouse is already a beneficiary under LN 288/2015</w:t>
      </w:r>
      <w:r w:rsidR="001C3818">
        <w:rPr>
          <w:lang w:val="en-GB"/>
        </w:rPr>
        <w:t>.</w:t>
      </w:r>
      <w:r>
        <w:rPr>
          <w:rStyle w:val="FootnoteReference"/>
          <w:lang w:val="en-GB"/>
        </w:rPr>
        <w:footnoteReference w:id="108"/>
      </w:r>
    </w:p>
    <w:p w14:paraId="4D3AEBAE" w14:textId="77777777" w:rsidR="00FC0F9A" w:rsidRDefault="00FC0F9A" w:rsidP="00FC0F9A">
      <w:pPr>
        <w:pStyle w:val="MBT"/>
        <w:rPr>
          <w:lang w:val="en-GB"/>
        </w:rPr>
      </w:pPr>
    </w:p>
    <w:p w14:paraId="687055A3" w14:textId="472229FB" w:rsidR="00FC0F9A" w:rsidRDefault="00FC0F9A" w:rsidP="00FC0F9A">
      <w:pPr>
        <w:pStyle w:val="MBT"/>
        <w:rPr>
          <w:lang w:val="en-GB"/>
        </w:rPr>
      </w:pPr>
      <w:r>
        <w:rPr>
          <w:lang w:val="en-GB"/>
        </w:rPr>
        <w:t xml:space="preserve">The direct dependants of an approved </w:t>
      </w:r>
      <w:proofErr w:type="spellStart"/>
      <w:r>
        <w:rPr>
          <w:lang w:val="en-GB"/>
        </w:rPr>
        <w:t>dependant</w:t>
      </w:r>
      <w:proofErr w:type="spellEnd"/>
      <w:r>
        <w:rPr>
          <w:lang w:val="en-GB"/>
        </w:rPr>
        <w:t xml:space="preserve"> child of the main applicant or spouse, who gets married, will not derive residency rights under LN 288/2015 automatically. The MRVA will consider residency under the MRVP against </w:t>
      </w:r>
      <w:r w:rsidRPr="004A44E6">
        <w:rPr>
          <w:b/>
          <w:lang w:val="en-GB"/>
        </w:rPr>
        <w:t>a non-refundable supplementary administration fee of EUR 5,0</w:t>
      </w:r>
      <w:r w:rsidR="00703646" w:rsidRPr="004A44E6">
        <w:rPr>
          <w:b/>
          <w:lang w:val="en-GB"/>
        </w:rPr>
        <w:t>0</w:t>
      </w:r>
      <w:r w:rsidRPr="004A44E6">
        <w:rPr>
          <w:b/>
          <w:lang w:val="en-GB"/>
        </w:rPr>
        <w:t>0 per dependant and subject to a successful due diligence check</w:t>
      </w:r>
      <w:r w:rsidR="001C3818">
        <w:rPr>
          <w:lang w:val="en-GB"/>
        </w:rPr>
        <w:t>.</w:t>
      </w:r>
      <w:r>
        <w:rPr>
          <w:rStyle w:val="FootnoteReference"/>
          <w:lang w:val="en-GB"/>
        </w:rPr>
        <w:footnoteReference w:id="109"/>
      </w:r>
    </w:p>
    <w:p w14:paraId="38924FD7" w14:textId="77777777" w:rsidR="00FC0F9A" w:rsidRDefault="00FC0F9A" w:rsidP="00FC0F9A">
      <w:pPr>
        <w:pStyle w:val="MBT"/>
        <w:rPr>
          <w:lang w:val="en-GB"/>
        </w:rPr>
      </w:pPr>
    </w:p>
    <w:p w14:paraId="600DCE16" w14:textId="0997B4A5" w:rsidR="00FC0F9A" w:rsidRDefault="00FC0F9A" w:rsidP="00FC0F9A">
      <w:pPr>
        <w:pStyle w:val="MBT"/>
        <w:rPr>
          <w:lang w:val="en-GB"/>
        </w:rPr>
      </w:pPr>
      <w:r>
        <w:rPr>
          <w:lang w:val="en-GB"/>
        </w:rPr>
        <w:t xml:space="preserve">Regulation 6(4) of LN 288/2015 requires applicants to provide </w:t>
      </w:r>
      <w:r w:rsidRPr="004A44E6">
        <w:rPr>
          <w:b/>
          <w:lang w:val="en-GB"/>
        </w:rPr>
        <w:t>an affidavit of support for each dependant over 18 years of age</w:t>
      </w:r>
      <w:r>
        <w:rPr>
          <w:lang w:val="en-GB"/>
        </w:rPr>
        <w:t>. In addition, both parents must sign the forms on behalf of the dependant. Where one parent has sole custody of a dependant, or another person has legal guardianship of a dependant, the appropriate legal documentation must be provided to demonstrate that a court of law or other relevant authority awarded sole custody or guardianship</w:t>
      </w:r>
      <w:r w:rsidR="001C3818">
        <w:rPr>
          <w:lang w:val="en-GB"/>
        </w:rPr>
        <w:t>.</w:t>
      </w:r>
      <w:r>
        <w:rPr>
          <w:rStyle w:val="FootnoteReference"/>
          <w:lang w:val="en-GB"/>
        </w:rPr>
        <w:footnoteReference w:id="110"/>
      </w:r>
    </w:p>
    <w:p w14:paraId="0CA7F9D0" w14:textId="77777777" w:rsidR="00FC0F9A" w:rsidRDefault="00FC0F9A" w:rsidP="00FC0F9A">
      <w:pPr>
        <w:pStyle w:val="MBT"/>
        <w:rPr>
          <w:lang w:val="en-GB"/>
        </w:rPr>
      </w:pPr>
    </w:p>
    <w:p w14:paraId="23274F8B" w14:textId="0E249B90" w:rsidR="00FC0F9A" w:rsidRDefault="00FC0F9A" w:rsidP="00FC0F9A">
      <w:pPr>
        <w:pStyle w:val="MBT"/>
        <w:rPr>
          <w:lang w:val="en-GB"/>
        </w:rPr>
      </w:pPr>
      <w:r w:rsidRPr="004A44E6">
        <w:rPr>
          <w:b/>
          <w:lang w:val="en-GB"/>
        </w:rPr>
        <w:t>Individuals will be deemed to be approved dependants as included on the residence certificate only if</w:t>
      </w:r>
      <w:r>
        <w:rPr>
          <w:lang w:val="en-GB"/>
        </w:rPr>
        <w:t xml:space="preserve"> from the </w:t>
      </w:r>
      <w:r w:rsidR="0038535C" w:rsidRPr="00090B2D">
        <w:rPr>
          <w:lang w:val="en-GB"/>
        </w:rPr>
        <w:t>date on which the MRVA determines in writing that a residence certificate is to be issued</w:t>
      </w:r>
      <w:r w:rsidR="0038535C">
        <w:rPr>
          <w:lang w:val="en-GB"/>
        </w:rPr>
        <w:t xml:space="preserve"> </w:t>
      </w:r>
      <w:r>
        <w:rPr>
          <w:lang w:val="en-GB"/>
        </w:rPr>
        <w:t xml:space="preserve">and throughout the entire duration and persistence of the certificate, they </w:t>
      </w:r>
      <w:r w:rsidRPr="004A44E6">
        <w:rPr>
          <w:b/>
          <w:lang w:val="en-GB"/>
        </w:rPr>
        <w:t>prove to the MRVA’s satisfaction that</w:t>
      </w:r>
      <w:r>
        <w:rPr>
          <w:lang w:val="en-GB"/>
        </w:rPr>
        <w:t xml:space="preserve">: </w:t>
      </w:r>
    </w:p>
    <w:p w14:paraId="43FF6AC3" w14:textId="77777777" w:rsidR="00246C7A" w:rsidRDefault="00246C7A" w:rsidP="00FC0F9A">
      <w:pPr>
        <w:pStyle w:val="MBT"/>
        <w:rPr>
          <w:lang w:val="en-GB"/>
        </w:rPr>
      </w:pPr>
    </w:p>
    <w:p w14:paraId="36235D11" w14:textId="77777777" w:rsidR="00FC0F9A" w:rsidRPr="004618A2" w:rsidRDefault="00FC0F9A" w:rsidP="00FC0F9A">
      <w:pPr>
        <w:pStyle w:val="MBT"/>
        <w:numPr>
          <w:ilvl w:val="0"/>
          <w:numId w:val="18"/>
        </w:numPr>
        <w:rPr>
          <w:lang w:val="en-GB"/>
        </w:rPr>
      </w:pPr>
      <w:r>
        <w:rPr>
          <w:lang w:val="en-GB"/>
        </w:rPr>
        <w:t xml:space="preserve">They are </w:t>
      </w:r>
      <w:r w:rsidRPr="004618A2">
        <w:rPr>
          <w:lang w:val="en-GB"/>
        </w:rPr>
        <w:t>third country national</w:t>
      </w:r>
      <w:r>
        <w:rPr>
          <w:lang w:val="en-GB"/>
        </w:rPr>
        <w:t xml:space="preserve">s and are not </w:t>
      </w:r>
      <w:r w:rsidRPr="004618A2">
        <w:rPr>
          <w:lang w:val="en-GB"/>
        </w:rPr>
        <w:t>Maltese, EEA or Swiss national</w:t>
      </w:r>
      <w:r>
        <w:rPr>
          <w:lang w:val="en-GB"/>
        </w:rPr>
        <w:t>s</w:t>
      </w:r>
      <w:r w:rsidRPr="004618A2">
        <w:rPr>
          <w:lang w:val="en-GB"/>
        </w:rPr>
        <w:t>;</w:t>
      </w:r>
    </w:p>
    <w:p w14:paraId="05B6194A" w14:textId="77777777" w:rsidR="00FC0F9A" w:rsidRPr="004618A2" w:rsidRDefault="00FC0F9A" w:rsidP="00FC0F9A">
      <w:pPr>
        <w:pStyle w:val="MBT"/>
        <w:numPr>
          <w:ilvl w:val="0"/>
          <w:numId w:val="18"/>
        </w:numPr>
        <w:rPr>
          <w:lang w:val="en-GB"/>
        </w:rPr>
      </w:pPr>
      <w:r>
        <w:rPr>
          <w:lang w:val="en-GB"/>
        </w:rPr>
        <w:t>They do</w:t>
      </w:r>
      <w:r w:rsidRPr="004618A2">
        <w:rPr>
          <w:lang w:val="en-GB"/>
        </w:rPr>
        <w:t xml:space="preserve"> not benefit from the Residence Scheme Regulations, the High Net Worth Individuals – EU/EEA/Swiss Nationals Rules, the </w:t>
      </w:r>
      <w:r>
        <w:rPr>
          <w:lang w:val="en-GB"/>
        </w:rPr>
        <w:t xml:space="preserve">Malta Retirement Programme Rules, the </w:t>
      </w:r>
      <w:r w:rsidRPr="004618A2">
        <w:rPr>
          <w:lang w:val="en-GB"/>
        </w:rPr>
        <w:t>Residence Programme Rules, the Qualifying Employment in Innovation and Creativity Rules or the Highly Qualified Persons Rules;</w:t>
      </w:r>
    </w:p>
    <w:p w14:paraId="35F4E3A1" w14:textId="4EE4E673" w:rsidR="00FC0F9A" w:rsidRPr="004618A2" w:rsidRDefault="00FC0F9A" w:rsidP="00FC0F9A">
      <w:pPr>
        <w:pStyle w:val="MBT"/>
        <w:numPr>
          <w:ilvl w:val="0"/>
          <w:numId w:val="18"/>
        </w:numPr>
        <w:rPr>
          <w:lang w:val="en-GB"/>
        </w:rPr>
      </w:pPr>
      <w:r>
        <w:rPr>
          <w:lang w:val="en-GB"/>
        </w:rPr>
        <w:t xml:space="preserve">They have </w:t>
      </w:r>
      <w:r w:rsidRPr="004618A2">
        <w:rPr>
          <w:lang w:val="en-GB"/>
        </w:rPr>
        <w:t xml:space="preserve">sickness insurance in respect of all risks normally covered for Maltese nationals across the whole Schengen Area and states associated with the </w:t>
      </w:r>
      <w:r>
        <w:rPr>
          <w:lang w:val="en-GB"/>
        </w:rPr>
        <w:t>EU’s Schengen activities</w:t>
      </w:r>
      <w:r w:rsidR="00781B5A">
        <w:rPr>
          <w:lang w:val="en-GB"/>
        </w:rPr>
        <w:t>.</w:t>
      </w:r>
      <w:r>
        <w:rPr>
          <w:rStyle w:val="FootnoteReference"/>
          <w:lang w:val="en-GB"/>
        </w:rPr>
        <w:footnoteReference w:id="111"/>
      </w:r>
    </w:p>
    <w:p w14:paraId="3FA8DEC7" w14:textId="347FCACE" w:rsidR="00A43535" w:rsidRDefault="00A43535" w:rsidP="002636C6">
      <w:pPr>
        <w:pStyle w:val="MBT"/>
        <w:rPr>
          <w:lang w:val="en-GB"/>
        </w:rPr>
      </w:pPr>
    </w:p>
    <w:p w14:paraId="4BFA23B8" w14:textId="2C7A578A" w:rsidR="00A50FB6" w:rsidRDefault="00A43535" w:rsidP="00A43535">
      <w:pPr>
        <w:pStyle w:val="MBT"/>
        <w:rPr>
          <w:lang w:val="en-GB"/>
        </w:rPr>
      </w:pPr>
      <w:r>
        <w:rPr>
          <w:lang w:val="en-GB"/>
        </w:rPr>
        <w:t>The MRVP was only launched in 2015 and therefore the 2012 to 2014 reference dates are not relevant in the Maltese context. No</w:t>
      </w:r>
      <w:r w:rsidRPr="000C462C">
        <w:rPr>
          <w:lang w:val="en-GB"/>
        </w:rPr>
        <w:t xml:space="preserve"> statistical data is </w:t>
      </w:r>
      <w:r>
        <w:rPr>
          <w:lang w:val="en-GB"/>
        </w:rPr>
        <w:t xml:space="preserve">publicly </w:t>
      </w:r>
      <w:r w:rsidRPr="000C462C">
        <w:rPr>
          <w:lang w:val="en-GB"/>
        </w:rPr>
        <w:t xml:space="preserve">available for 2015, 2016, and 2017 and the table below </w:t>
      </w:r>
      <w:r>
        <w:rPr>
          <w:lang w:val="en-GB"/>
        </w:rPr>
        <w:t>is completed on the basis of information obtained directly from the MRVA.</w:t>
      </w:r>
      <w:r>
        <w:rPr>
          <w:rStyle w:val="FootnoteReference"/>
          <w:lang w:val="en-GB"/>
        </w:rPr>
        <w:footnoteReference w:id="112"/>
      </w:r>
    </w:p>
    <w:p w14:paraId="36EBD33D" w14:textId="43054416" w:rsidR="00A43535" w:rsidRDefault="00A43535" w:rsidP="002636C6">
      <w:pPr>
        <w:pStyle w:val="MBT"/>
        <w:rPr>
          <w:lang w:val="en-GB"/>
        </w:rPr>
      </w:pP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5"/>
        <w:gridCol w:w="4427"/>
        <w:gridCol w:w="3514"/>
      </w:tblGrid>
      <w:tr w:rsidR="00A2632B" w:rsidRPr="00F46BFD" w14:paraId="07029351" w14:textId="77777777" w:rsidTr="00EA7BC5">
        <w:tc>
          <w:tcPr>
            <w:tcW w:w="596" w:type="pct"/>
            <w:shd w:val="clear" w:color="auto" w:fill="95B3D7" w:themeFill="accent1" w:themeFillTint="99"/>
          </w:tcPr>
          <w:p w14:paraId="1A14BB02" w14:textId="77777777" w:rsidR="00A2632B" w:rsidRPr="00F46BFD" w:rsidRDefault="00A2632B" w:rsidP="00EA7BC5">
            <w:pPr>
              <w:jc w:val="center"/>
              <w:rPr>
                <w:rFonts w:ascii="Century Gothic" w:hAnsi="Century Gothic"/>
                <w:b/>
                <w:sz w:val="18"/>
                <w:lang w:val="en-GB"/>
              </w:rPr>
            </w:pPr>
            <w:r w:rsidRPr="00F46BFD">
              <w:rPr>
                <w:rFonts w:ascii="Century Gothic" w:hAnsi="Century Gothic"/>
                <w:b/>
                <w:sz w:val="18"/>
                <w:lang w:val="en-GB"/>
              </w:rPr>
              <w:t>Year</w:t>
            </w:r>
          </w:p>
        </w:tc>
        <w:tc>
          <w:tcPr>
            <w:tcW w:w="2455" w:type="pct"/>
            <w:shd w:val="clear" w:color="auto" w:fill="95B3D7" w:themeFill="accent1" w:themeFillTint="99"/>
          </w:tcPr>
          <w:p w14:paraId="2856F187" w14:textId="77777777" w:rsidR="00A2632B" w:rsidRPr="00F46BFD" w:rsidRDefault="00A2632B" w:rsidP="00EA7BC5">
            <w:pPr>
              <w:jc w:val="center"/>
              <w:rPr>
                <w:rFonts w:ascii="Century Gothic" w:hAnsi="Century Gothic"/>
                <w:b/>
                <w:sz w:val="18"/>
                <w:lang w:val="en-GB"/>
              </w:rPr>
            </w:pPr>
            <w:r w:rsidRPr="00F46BFD">
              <w:rPr>
                <w:rFonts w:ascii="Century Gothic" w:hAnsi="Century Gothic"/>
                <w:b/>
                <w:sz w:val="18"/>
                <w:lang w:val="en-GB"/>
              </w:rPr>
              <w:t xml:space="preserve">Number/Percentage of successful applications for </w:t>
            </w:r>
            <w:r>
              <w:rPr>
                <w:rFonts w:ascii="Century Gothic" w:hAnsi="Century Gothic"/>
                <w:b/>
                <w:sz w:val="18"/>
                <w:lang w:val="en-GB"/>
              </w:rPr>
              <w:t>residence permits for</w:t>
            </w:r>
            <w:r w:rsidRPr="00F46BFD">
              <w:rPr>
                <w:rFonts w:ascii="Century Gothic" w:hAnsi="Century Gothic"/>
                <w:b/>
                <w:sz w:val="18"/>
                <w:lang w:val="en-GB"/>
              </w:rPr>
              <w:t xml:space="preserve"> family members</w:t>
            </w:r>
          </w:p>
        </w:tc>
        <w:tc>
          <w:tcPr>
            <w:tcW w:w="1950" w:type="pct"/>
            <w:shd w:val="clear" w:color="auto" w:fill="95B3D7" w:themeFill="accent1" w:themeFillTint="99"/>
          </w:tcPr>
          <w:p w14:paraId="2A7C8B8E" w14:textId="77777777" w:rsidR="00A2632B" w:rsidRPr="00F46BFD" w:rsidRDefault="00A2632B" w:rsidP="00EA7BC5">
            <w:pPr>
              <w:jc w:val="center"/>
              <w:rPr>
                <w:rFonts w:ascii="Century Gothic" w:hAnsi="Century Gothic"/>
                <w:b/>
                <w:sz w:val="18"/>
                <w:lang w:val="en-GB"/>
              </w:rPr>
            </w:pPr>
            <w:r w:rsidRPr="00F46BFD">
              <w:rPr>
                <w:rFonts w:ascii="Century Gothic" w:hAnsi="Century Gothic"/>
                <w:b/>
                <w:sz w:val="18"/>
                <w:lang w:val="en-GB"/>
              </w:rPr>
              <w:t>Source</w:t>
            </w:r>
          </w:p>
        </w:tc>
      </w:tr>
      <w:tr w:rsidR="00A2632B" w:rsidRPr="00F46BFD" w14:paraId="5C31E91C" w14:textId="77777777" w:rsidTr="00EA7BC5">
        <w:tc>
          <w:tcPr>
            <w:tcW w:w="596" w:type="pct"/>
            <w:shd w:val="clear" w:color="auto" w:fill="B8CCE4" w:themeFill="accent1" w:themeFillTint="66"/>
          </w:tcPr>
          <w:p w14:paraId="08DA3DE8" w14:textId="77777777" w:rsidR="00A2632B" w:rsidRPr="00F46BFD" w:rsidRDefault="00A2632B" w:rsidP="00EA7BC5">
            <w:pPr>
              <w:jc w:val="both"/>
              <w:rPr>
                <w:rFonts w:ascii="Century Gothic" w:hAnsi="Century Gothic"/>
                <w:sz w:val="18"/>
                <w:lang w:val="en-GB"/>
              </w:rPr>
            </w:pPr>
            <w:r w:rsidRPr="00F46BFD">
              <w:rPr>
                <w:rFonts w:ascii="Century Gothic" w:hAnsi="Century Gothic"/>
                <w:sz w:val="18"/>
                <w:lang w:val="en-GB"/>
              </w:rPr>
              <w:t>2012</w:t>
            </w:r>
          </w:p>
        </w:tc>
        <w:tc>
          <w:tcPr>
            <w:tcW w:w="2455" w:type="pct"/>
            <w:shd w:val="clear" w:color="auto" w:fill="DBDBDB" w:themeFill="background2" w:themeFillTint="66"/>
          </w:tcPr>
          <w:p w14:paraId="37859897"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N/A</w:t>
            </w:r>
          </w:p>
        </w:tc>
        <w:tc>
          <w:tcPr>
            <w:tcW w:w="1950" w:type="pct"/>
            <w:shd w:val="clear" w:color="auto" w:fill="DBDBDB" w:themeFill="background2" w:themeFillTint="66"/>
          </w:tcPr>
          <w:p w14:paraId="1B3BB23F"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N/A</w:t>
            </w:r>
          </w:p>
        </w:tc>
      </w:tr>
      <w:tr w:rsidR="00A2632B" w:rsidRPr="00F46BFD" w14:paraId="5F71A15B" w14:textId="77777777" w:rsidTr="00EA7BC5">
        <w:tc>
          <w:tcPr>
            <w:tcW w:w="596" w:type="pct"/>
            <w:shd w:val="clear" w:color="auto" w:fill="B8CCE4" w:themeFill="accent1" w:themeFillTint="66"/>
          </w:tcPr>
          <w:p w14:paraId="01C8C94B" w14:textId="77777777" w:rsidR="00A2632B" w:rsidRPr="00F46BFD" w:rsidRDefault="00A2632B" w:rsidP="00EA7BC5">
            <w:pPr>
              <w:jc w:val="both"/>
              <w:rPr>
                <w:rFonts w:ascii="Century Gothic" w:hAnsi="Century Gothic"/>
                <w:sz w:val="18"/>
                <w:lang w:val="en-GB"/>
              </w:rPr>
            </w:pPr>
            <w:r w:rsidRPr="00F46BFD">
              <w:rPr>
                <w:rFonts w:ascii="Century Gothic" w:hAnsi="Century Gothic"/>
                <w:sz w:val="18"/>
                <w:lang w:val="en-GB"/>
              </w:rPr>
              <w:t>2013</w:t>
            </w:r>
          </w:p>
        </w:tc>
        <w:tc>
          <w:tcPr>
            <w:tcW w:w="2455" w:type="pct"/>
            <w:shd w:val="clear" w:color="auto" w:fill="DBDBDB" w:themeFill="background2" w:themeFillTint="66"/>
          </w:tcPr>
          <w:p w14:paraId="0EDEE7DD"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N/A</w:t>
            </w:r>
          </w:p>
        </w:tc>
        <w:tc>
          <w:tcPr>
            <w:tcW w:w="1950" w:type="pct"/>
            <w:shd w:val="clear" w:color="auto" w:fill="DBDBDB" w:themeFill="background2" w:themeFillTint="66"/>
          </w:tcPr>
          <w:p w14:paraId="1871C3CF"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N/A</w:t>
            </w:r>
          </w:p>
        </w:tc>
      </w:tr>
      <w:tr w:rsidR="00A2632B" w:rsidRPr="00F46BFD" w14:paraId="5D3FC105" w14:textId="77777777" w:rsidTr="00EA7BC5">
        <w:tc>
          <w:tcPr>
            <w:tcW w:w="596" w:type="pct"/>
            <w:shd w:val="clear" w:color="auto" w:fill="B8CCE4" w:themeFill="accent1" w:themeFillTint="66"/>
          </w:tcPr>
          <w:p w14:paraId="25481300" w14:textId="77777777" w:rsidR="00A2632B" w:rsidRPr="00F46BFD" w:rsidRDefault="00A2632B" w:rsidP="00EA7BC5">
            <w:pPr>
              <w:jc w:val="both"/>
              <w:rPr>
                <w:rFonts w:ascii="Century Gothic" w:hAnsi="Century Gothic"/>
                <w:sz w:val="18"/>
                <w:lang w:val="en-GB"/>
              </w:rPr>
            </w:pPr>
            <w:r w:rsidRPr="00F46BFD">
              <w:rPr>
                <w:rFonts w:ascii="Century Gothic" w:hAnsi="Century Gothic"/>
                <w:sz w:val="18"/>
                <w:lang w:val="en-GB"/>
              </w:rPr>
              <w:t>2014</w:t>
            </w:r>
          </w:p>
        </w:tc>
        <w:tc>
          <w:tcPr>
            <w:tcW w:w="2455" w:type="pct"/>
            <w:shd w:val="clear" w:color="auto" w:fill="DBDBDB" w:themeFill="background2" w:themeFillTint="66"/>
          </w:tcPr>
          <w:p w14:paraId="590DB2E7"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N/A</w:t>
            </w:r>
          </w:p>
        </w:tc>
        <w:tc>
          <w:tcPr>
            <w:tcW w:w="1950" w:type="pct"/>
            <w:shd w:val="clear" w:color="auto" w:fill="DBDBDB" w:themeFill="background2" w:themeFillTint="66"/>
          </w:tcPr>
          <w:p w14:paraId="7D9521D4"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N/A</w:t>
            </w:r>
          </w:p>
        </w:tc>
      </w:tr>
      <w:tr w:rsidR="00A2632B" w:rsidRPr="00F46BFD" w14:paraId="24CB0075" w14:textId="77777777" w:rsidTr="00EA7BC5">
        <w:tc>
          <w:tcPr>
            <w:tcW w:w="596" w:type="pct"/>
            <w:shd w:val="clear" w:color="auto" w:fill="B8CCE4" w:themeFill="accent1" w:themeFillTint="66"/>
          </w:tcPr>
          <w:p w14:paraId="71DCB228" w14:textId="77777777" w:rsidR="00A2632B" w:rsidRPr="00F46BFD" w:rsidRDefault="00A2632B" w:rsidP="00EA7BC5">
            <w:pPr>
              <w:jc w:val="both"/>
              <w:rPr>
                <w:rFonts w:ascii="Century Gothic" w:hAnsi="Century Gothic"/>
                <w:sz w:val="18"/>
                <w:lang w:val="en-GB"/>
              </w:rPr>
            </w:pPr>
            <w:r w:rsidRPr="00F46BFD">
              <w:rPr>
                <w:rFonts w:ascii="Century Gothic" w:hAnsi="Century Gothic"/>
                <w:sz w:val="18"/>
                <w:lang w:val="en-GB"/>
              </w:rPr>
              <w:t>2015</w:t>
            </w:r>
          </w:p>
        </w:tc>
        <w:tc>
          <w:tcPr>
            <w:tcW w:w="2455" w:type="pct"/>
            <w:shd w:val="clear" w:color="auto" w:fill="DBDBDB" w:themeFill="background2" w:themeFillTint="66"/>
          </w:tcPr>
          <w:p w14:paraId="3AABA477"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0</w:t>
            </w:r>
          </w:p>
        </w:tc>
        <w:tc>
          <w:tcPr>
            <w:tcW w:w="1950" w:type="pct"/>
            <w:shd w:val="clear" w:color="auto" w:fill="DBDBDB" w:themeFill="background2" w:themeFillTint="66"/>
          </w:tcPr>
          <w:p w14:paraId="65D12D7D"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MRVA</w:t>
            </w:r>
          </w:p>
        </w:tc>
      </w:tr>
      <w:tr w:rsidR="00A2632B" w:rsidRPr="00F46BFD" w14:paraId="0288FF9E" w14:textId="77777777" w:rsidTr="00EA7BC5">
        <w:tc>
          <w:tcPr>
            <w:tcW w:w="596" w:type="pct"/>
            <w:shd w:val="clear" w:color="auto" w:fill="B8CCE4" w:themeFill="accent1" w:themeFillTint="66"/>
          </w:tcPr>
          <w:p w14:paraId="1ADD5F80" w14:textId="77777777" w:rsidR="00A2632B" w:rsidRPr="00F46BFD" w:rsidRDefault="00A2632B" w:rsidP="00EA7BC5">
            <w:pPr>
              <w:jc w:val="both"/>
              <w:rPr>
                <w:rFonts w:ascii="Century Gothic" w:hAnsi="Century Gothic"/>
                <w:sz w:val="18"/>
                <w:lang w:val="en-GB"/>
              </w:rPr>
            </w:pPr>
            <w:r w:rsidRPr="00F46BFD">
              <w:rPr>
                <w:rFonts w:ascii="Century Gothic" w:hAnsi="Century Gothic"/>
                <w:sz w:val="18"/>
                <w:lang w:val="en-GB"/>
              </w:rPr>
              <w:t>2016</w:t>
            </w:r>
          </w:p>
        </w:tc>
        <w:tc>
          <w:tcPr>
            <w:tcW w:w="2455" w:type="pct"/>
            <w:shd w:val="clear" w:color="auto" w:fill="DBDBDB" w:themeFill="background2" w:themeFillTint="66"/>
          </w:tcPr>
          <w:p w14:paraId="39A5608E"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101</w:t>
            </w:r>
          </w:p>
        </w:tc>
        <w:tc>
          <w:tcPr>
            <w:tcW w:w="1950" w:type="pct"/>
            <w:shd w:val="clear" w:color="auto" w:fill="DBDBDB" w:themeFill="background2" w:themeFillTint="66"/>
          </w:tcPr>
          <w:p w14:paraId="18760420"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MRVA</w:t>
            </w:r>
          </w:p>
        </w:tc>
      </w:tr>
      <w:tr w:rsidR="00A2632B" w:rsidRPr="00F46BFD" w14:paraId="029133D9" w14:textId="77777777" w:rsidTr="00EA7BC5">
        <w:tc>
          <w:tcPr>
            <w:tcW w:w="596" w:type="pct"/>
            <w:shd w:val="clear" w:color="auto" w:fill="B8CCE4" w:themeFill="accent1" w:themeFillTint="66"/>
          </w:tcPr>
          <w:p w14:paraId="5CC30885" w14:textId="77777777" w:rsidR="00A2632B" w:rsidRPr="00F46BFD" w:rsidRDefault="00A2632B" w:rsidP="00EA7BC5">
            <w:pPr>
              <w:jc w:val="both"/>
              <w:rPr>
                <w:rFonts w:ascii="Century Gothic" w:hAnsi="Century Gothic"/>
                <w:sz w:val="18"/>
                <w:lang w:val="en-GB"/>
              </w:rPr>
            </w:pPr>
            <w:r w:rsidRPr="00F46BFD">
              <w:rPr>
                <w:rFonts w:ascii="Century Gothic" w:hAnsi="Century Gothic"/>
                <w:sz w:val="18"/>
                <w:lang w:val="en-GB"/>
              </w:rPr>
              <w:t>2017</w:t>
            </w:r>
          </w:p>
        </w:tc>
        <w:tc>
          <w:tcPr>
            <w:tcW w:w="2455" w:type="pct"/>
            <w:shd w:val="clear" w:color="auto" w:fill="DBDBDB" w:themeFill="background2" w:themeFillTint="66"/>
          </w:tcPr>
          <w:p w14:paraId="412AB208"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284</w:t>
            </w:r>
          </w:p>
        </w:tc>
        <w:tc>
          <w:tcPr>
            <w:tcW w:w="1950" w:type="pct"/>
            <w:shd w:val="clear" w:color="auto" w:fill="DBDBDB" w:themeFill="background2" w:themeFillTint="66"/>
          </w:tcPr>
          <w:p w14:paraId="1DFCB3FA" w14:textId="77777777" w:rsidR="00A2632B" w:rsidRPr="00F46BFD" w:rsidRDefault="00A2632B" w:rsidP="00EA7BC5">
            <w:pPr>
              <w:jc w:val="both"/>
              <w:rPr>
                <w:rFonts w:ascii="Century Gothic" w:hAnsi="Century Gothic"/>
                <w:sz w:val="18"/>
                <w:lang w:val="en-GB"/>
              </w:rPr>
            </w:pPr>
            <w:r>
              <w:rPr>
                <w:rFonts w:ascii="Century Gothic" w:hAnsi="Century Gothic"/>
                <w:sz w:val="18"/>
                <w:lang w:val="en-GB"/>
              </w:rPr>
              <w:t>MRVA</w:t>
            </w:r>
          </w:p>
        </w:tc>
      </w:tr>
    </w:tbl>
    <w:p w14:paraId="4ED5A8B7" w14:textId="15F4B1DC" w:rsidR="00A2632B" w:rsidRDefault="00A2632B" w:rsidP="002636C6">
      <w:pPr>
        <w:pStyle w:val="MBT"/>
        <w:rPr>
          <w:lang w:val="en-GB"/>
        </w:rPr>
      </w:pPr>
    </w:p>
    <w:p w14:paraId="6EB94805" w14:textId="27AD9259" w:rsidR="00A2632B" w:rsidRPr="00C83D3F" w:rsidRDefault="00A2632B" w:rsidP="006B5ED7">
      <w:pPr>
        <w:pStyle w:val="MBT"/>
        <w:keepNext/>
        <w:numPr>
          <w:ilvl w:val="0"/>
          <w:numId w:val="36"/>
        </w:numPr>
        <w:rPr>
          <w:b/>
          <w:lang w:val="en-GB"/>
        </w:rPr>
      </w:pPr>
      <w:r w:rsidRPr="00C83D3F">
        <w:rPr>
          <w:b/>
          <w:lang w:val="en-GB"/>
        </w:rPr>
        <w:lastRenderedPageBreak/>
        <w:t>GRP</w:t>
      </w:r>
    </w:p>
    <w:p w14:paraId="0287FD31" w14:textId="20E6E7C3" w:rsidR="00A2632B" w:rsidRDefault="00A2632B" w:rsidP="006B5ED7">
      <w:pPr>
        <w:pStyle w:val="MBT"/>
        <w:keepNext/>
        <w:rPr>
          <w:lang w:val="en-GB"/>
        </w:rPr>
      </w:pPr>
    </w:p>
    <w:p w14:paraId="0CB6C7BA" w14:textId="0CA74ACE" w:rsidR="00DB509D" w:rsidRDefault="00DB509D" w:rsidP="006B5ED7">
      <w:pPr>
        <w:pStyle w:val="MBT"/>
        <w:keepNext/>
        <w:rPr>
          <w:lang w:val="en-GB"/>
        </w:rPr>
      </w:pPr>
      <w:r w:rsidRPr="00A2632B">
        <w:rPr>
          <w:lang w:val="en-GB"/>
        </w:rPr>
        <w:t xml:space="preserve">LN </w:t>
      </w:r>
      <w:r>
        <w:rPr>
          <w:lang w:val="en-GB"/>
        </w:rPr>
        <w:t>167/2013</w:t>
      </w:r>
      <w:r w:rsidRPr="00A2632B">
        <w:rPr>
          <w:lang w:val="en-GB"/>
        </w:rPr>
        <w:t xml:space="preserve"> distinguishes between </w:t>
      </w:r>
      <w:r>
        <w:rPr>
          <w:lang w:val="en-GB"/>
        </w:rPr>
        <w:t>main beneficiaries</w:t>
      </w:r>
      <w:r w:rsidRPr="00A2632B">
        <w:rPr>
          <w:lang w:val="en-GB"/>
        </w:rPr>
        <w:t xml:space="preserve"> and dependants. </w:t>
      </w:r>
    </w:p>
    <w:p w14:paraId="0AE4799D" w14:textId="77777777" w:rsidR="00DB509D" w:rsidRDefault="00DB509D" w:rsidP="00624126">
      <w:pPr>
        <w:pStyle w:val="MBT"/>
        <w:rPr>
          <w:lang w:val="en-GB"/>
        </w:rPr>
      </w:pPr>
    </w:p>
    <w:p w14:paraId="080E12A8" w14:textId="2DDD5E28" w:rsidR="00624126" w:rsidRDefault="00DB509D" w:rsidP="00624126">
      <w:pPr>
        <w:pStyle w:val="MBT"/>
        <w:rPr>
          <w:lang w:val="en-GB"/>
        </w:rPr>
      </w:pPr>
      <w:r>
        <w:rPr>
          <w:lang w:val="en-GB"/>
        </w:rPr>
        <w:t>Similar</w:t>
      </w:r>
      <w:r w:rsidR="00624126">
        <w:rPr>
          <w:lang w:val="en-GB"/>
        </w:rPr>
        <w:t xml:space="preserve"> to the MRVP, a </w:t>
      </w:r>
      <w:r w:rsidR="00624126" w:rsidRPr="004A44E6">
        <w:rPr>
          <w:b/>
          <w:lang w:val="en-GB"/>
        </w:rPr>
        <w:t>broad range of family members qualify as dependants</w:t>
      </w:r>
      <w:r w:rsidR="00624126">
        <w:rPr>
          <w:lang w:val="en-GB"/>
        </w:rPr>
        <w:t xml:space="preserve"> within the meaning of LN 167/2013. While there are some overlaps between the persons qualifying as dependants for the purposes of the MRVP and the GRP, </w:t>
      </w:r>
      <w:r w:rsidR="00D12543">
        <w:rPr>
          <w:lang w:val="en-GB"/>
        </w:rPr>
        <w:t>the definitions are not exactly the same</w:t>
      </w:r>
      <w:r w:rsidR="00624126">
        <w:rPr>
          <w:lang w:val="en-GB"/>
        </w:rPr>
        <w:t>. Rule 2 of LN 167/2013 defines the following persons as dependants:</w:t>
      </w:r>
    </w:p>
    <w:p w14:paraId="7C4EA128" w14:textId="77777777" w:rsidR="00624126" w:rsidRDefault="00624126" w:rsidP="002636C6">
      <w:pPr>
        <w:pStyle w:val="MBT"/>
        <w:rPr>
          <w:lang w:val="en-GB"/>
        </w:rPr>
      </w:pPr>
    </w:p>
    <w:p w14:paraId="31D25ECF" w14:textId="2F3FB1C8" w:rsidR="00624126" w:rsidRDefault="00624126" w:rsidP="00624126">
      <w:pPr>
        <w:pStyle w:val="MBT"/>
        <w:numPr>
          <w:ilvl w:val="0"/>
          <w:numId w:val="27"/>
        </w:numPr>
        <w:rPr>
          <w:lang w:val="en-GB"/>
        </w:rPr>
      </w:pPr>
      <w:r>
        <w:rPr>
          <w:lang w:val="en-GB"/>
        </w:rPr>
        <w:t>The beneficiary’s spouse or person with whom the beneficiary is in a stable and durable relationship;</w:t>
      </w:r>
    </w:p>
    <w:p w14:paraId="32A3878A" w14:textId="5B5FB5F8" w:rsidR="00624126" w:rsidRDefault="00624126" w:rsidP="00624126">
      <w:pPr>
        <w:pStyle w:val="MBT"/>
        <w:numPr>
          <w:ilvl w:val="0"/>
          <w:numId w:val="27"/>
        </w:numPr>
        <w:rPr>
          <w:lang w:val="en-GB"/>
        </w:rPr>
      </w:pPr>
      <w:r>
        <w:rPr>
          <w:lang w:val="en-GB"/>
        </w:rPr>
        <w:t>Minor children, including adopted minor children and children who are in the care and custody of the beneficiary or of the beneficiary’s spouse or person with whom s/he is in a stable and durable relationship;</w:t>
      </w:r>
    </w:p>
    <w:p w14:paraId="3E4430B0" w14:textId="2A780620" w:rsidR="00624126" w:rsidRDefault="00624126" w:rsidP="00624126">
      <w:pPr>
        <w:pStyle w:val="MBT"/>
        <w:numPr>
          <w:ilvl w:val="0"/>
          <w:numId w:val="27"/>
        </w:numPr>
        <w:rPr>
          <w:lang w:val="en-GB"/>
        </w:rPr>
      </w:pPr>
      <w:r>
        <w:rPr>
          <w:lang w:val="en-GB"/>
        </w:rPr>
        <w:t>Children under 25 years of age, including adopted children and children who are in the care and custody of the beneficiary or of the beneficiary’s spouse or person with whom s/he is in a stable and durable relationship, provided that such children are not economically active;</w:t>
      </w:r>
      <w:r>
        <w:rPr>
          <w:rStyle w:val="FootnoteReference"/>
          <w:lang w:val="en-GB"/>
        </w:rPr>
        <w:footnoteReference w:id="113"/>
      </w:r>
    </w:p>
    <w:p w14:paraId="6E8C09C2" w14:textId="6857ECAD" w:rsidR="00624126" w:rsidRDefault="00DB509D" w:rsidP="00624126">
      <w:pPr>
        <w:pStyle w:val="MBT"/>
        <w:numPr>
          <w:ilvl w:val="0"/>
          <w:numId w:val="27"/>
        </w:numPr>
        <w:rPr>
          <w:lang w:val="en-GB"/>
        </w:rPr>
      </w:pPr>
      <w:r>
        <w:rPr>
          <w:lang w:val="en-GB"/>
        </w:rPr>
        <w:t>Adult c</w:t>
      </w:r>
      <w:r w:rsidR="00624126">
        <w:rPr>
          <w:lang w:val="en-GB"/>
        </w:rPr>
        <w:t xml:space="preserve">hildren including adopted </w:t>
      </w:r>
      <w:r>
        <w:rPr>
          <w:lang w:val="en-GB"/>
        </w:rPr>
        <w:t xml:space="preserve">adult </w:t>
      </w:r>
      <w:r w:rsidR="00624126">
        <w:rPr>
          <w:lang w:val="en-GB"/>
        </w:rPr>
        <w:t>children and children who are in the care and custody of the beneficiary or of the beneficiary’s spouse or person with whom s/he is in a stable and durable relationship,</w:t>
      </w:r>
      <w:r>
        <w:rPr>
          <w:lang w:val="en-GB"/>
        </w:rPr>
        <w:t xml:space="preserve"> who because of serious illness or disability are unable to maintain themselves;</w:t>
      </w:r>
    </w:p>
    <w:p w14:paraId="158D3879" w14:textId="06C769DB" w:rsidR="00DB509D" w:rsidRDefault="00DB509D" w:rsidP="00DB509D">
      <w:pPr>
        <w:pStyle w:val="MBT"/>
        <w:numPr>
          <w:ilvl w:val="0"/>
          <w:numId w:val="27"/>
        </w:numPr>
        <w:rPr>
          <w:lang w:val="en-GB"/>
        </w:rPr>
      </w:pPr>
      <w:r>
        <w:rPr>
          <w:lang w:val="en-GB"/>
        </w:rPr>
        <w:t>Dependant brothers, sisters and direct relatives in the ascending line of the beneficiary or of the person with whom the beneficiary is in a stable and durable relationship.</w:t>
      </w:r>
    </w:p>
    <w:p w14:paraId="53F2BE92" w14:textId="719729DF" w:rsidR="00624126" w:rsidRDefault="00624126" w:rsidP="00C83D3F">
      <w:pPr>
        <w:pStyle w:val="MBT"/>
        <w:ind w:left="720"/>
        <w:rPr>
          <w:lang w:val="en-GB"/>
        </w:rPr>
      </w:pPr>
    </w:p>
    <w:p w14:paraId="6898A4B2" w14:textId="2FE4C805" w:rsidR="00DB509D" w:rsidRDefault="00E20074" w:rsidP="00DB509D">
      <w:pPr>
        <w:pStyle w:val="MBT"/>
        <w:rPr>
          <w:lang w:val="en-GB"/>
        </w:rPr>
      </w:pPr>
      <w:r>
        <w:rPr>
          <w:lang w:val="en-GB"/>
        </w:rPr>
        <w:t>The</w:t>
      </w:r>
      <w:r w:rsidR="00DB509D">
        <w:rPr>
          <w:lang w:val="en-GB"/>
        </w:rPr>
        <w:t xml:space="preserve"> </w:t>
      </w:r>
      <w:r w:rsidR="00DB509D">
        <w:rPr>
          <w:b/>
          <w:lang w:val="en-GB"/>
        </w:rPr>
        <w:t>dependant</w:t>
      </w:r>
      <w:r w:rsidR="00DB509D" w:rsidRPr="004A44E6">
        <w:rPr>
          <w:b/>
          <w:lang w:val="en-GB"/>
        </w:rPr>
        <w:t xml:space="preserve"> must </w:t>
      </w:r>
      <w:r w:rsidR="00DB509D" w:rsidRPr="00C83D3F">
        <w:rPr>
          <w:b/>
          <w:lang w:val="en-GB"/>
        </w:rPr>
        <w:t>reside with the beneficiary in the qualifying property</w:t>
      </w:r>
      <w:r w:rsidR="00DB509D">
        <w:rPr>
          <w:lang w:val="en-GB"/>
        </w:rPr>
        <w:t>.</w:t>
      </w:r>
      <w:r w:rsidR="00DB509D">
        <w:rPr>
          <w:rStyle w:val="FootnoteReference"/>
          <w:lang w:val="en-GB"/>
        </w:rPr>
        <w:footnoteReference w:id="114"/>
      </w:r>
    </w:p>
    <w:p w14:paraId="6F49DB54" w14:textId="77777777" w:rsidR="00DB509D" w:rsidRDefault="00DB509D" w:rsidP="002636C6">
      <w:pPr>
        <w:pStyle w:val="MBT"/>
        <w:rPr>
          <w:lang w:val="en-GB"/>
        </w:rPr>
      </w:pPr>
    </w:p>
    <w:p w14:paraId="6222B6C3" w14:textId="77777777" w:rsidR="00BC5105" w:rsidRPr="00A26583" w:rsidRDefault="00BC5105" w:rsidP="002636C6">
      <w:pPr>
        <w:pStyle w:val="MBT"/>
        <w:rPr>
          <w:lang w:val="en-GB"/>
        </w:rPr>
        <w:sectPr w:rsidR="00BC5105" w:rsidRPr="00A26583" w:rsidSect="00204BA5">
          <w:headerReference w:type="default" r:id="rId17"/>
          <w:footerReference w:type="default" r:id="rId18"/>
          <w:pgSz w:w="11906" w:h="16838"/>
          <w:pgMar w:top="1440" w:right="1440" w:bottom="1440" w:left="1440" w:header="708" w:footer="708" w:gutter="0"/>
          <w:pgNumType w:start="1"/>
          <w:cols w:space="708"/>
          <w:docGrid w:linePitch="360"/>
        </w:sectPr>
      </w:pPr>
    </w:p>
    <w:p w14:paraId="6010260C" w14:textId="72AC71A8" w:rsidR="00B311A7" w:rsidRPr="00BF2E9C" w:rsidRDefault="00B311A7" w:rsidP="00CE0FFD">
      <w:pPr>
        <w:pStyle w:val="MH1"/>
        <w:spacing w:after="0"/>
      </w:pPr>
      <w:bookmarkStart w:id="19" w:name="_Toc496025535"/>
      <w:bookmarkStart w:id="20" w:name="_Toc517765941"/>
      <w:bookmarkEnd w:id="17"/>
      <w:r w:rsidRPr="00BF2E9C">
        <w:lastRenderedPageBreak/>
        <w:t>Type of investment</w:t>
      </w:r>
      <w:bookmarkEnd w:id="19"/>
      <w:r w:rsidR="00CE0FFD" w:rsidRPr="00BF2E9C">
        <w:rPr>
          <w:rStyle w:val="FootnoteReference"/>
          <w:b w:val="0"/>
        </w:rPr>
        <w:footnoteReference w:id="115"/>
      </w:r>
      <w:bookmarkEnd w:id="20"/>
    </w:p>
    <w:p w14:paraId="669082BC" w14:textId="67902888" w:rsidR="00B311A7" w:rsidRPr="00BF2E9C" w:rsidRDefault="00B311A7" w:rsidP="00CE0FFD">
      <w:pPr>
        <w:pStyle w:val="MBT"/>
        <w:rPr>
          <w:i/>
          <w:color w:val="FF0000"/>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4243"/>
        <w:gridCol w:w="3119"/>
        <w:gridCol w:w="4733"/>
        <w:gridCol w:w="1843"/>
      </w:tblGrid>
      <w:tr w:rsidR="00CE0FFD" w:rsidRPr="006B5ED7" w14:paraId="0A468106" w14:textId="77777777" w:rsidTr="00C83D3F">
        <w:tc>
          <w:tcPr>
            <w:tcW w:w="1522" w:type="pct"/>
            <w:tcBorders>
              <w:bottom w:val="single" w:sz="8" w:space="0" w:color="FFFFFF" w:themeColor="background1"/>
            </w:tcBorders>
            <w:shd w:val="clear" w:color="auto" w:fill="B8CCE4" w:themeFill="accent1" w:themeFillTint="66"/>
          </w:tcPr>
          <w:p w14:paraId="50F4411C" w14:textId="77777777" w:rsidR="00B311A7" w:rsidRPr="00BF2E9C" w:rsidRDefault="00B311A7" w:rsidP="00CE0FFD">
            <w:pPr>
              <w:jc w:val="center"/>
              <w:rPr>
                <w:rFonts w:ascii="Century Gothic" w:hAnsi="Century Gothic"/>
                <w:b/>
                <w:bCs/>
                <w:sz w:val="18"/>
                <w:szCs w:val="18"/>
                <w:lang w:val="en-GB"/>
              </w:rPr>
            </w:pPr>
            <w:bookmarkStart w:id="21" w:name="_Hlk496020552"/>
            <w:r w:rsidRPr="00BF2E9C">
              <w:rPr>
                <w:rFonts w:ascii="Century Gothic" w:hAnsi="Century Gothic"/>
                <w:b/>
                <w:bCs/>
                <w:sz w:val="18"/>
                <w:szCs w:val="18"/>
                <w:lang w:val="en-GB"/>
              </w:rPr>
              <w:t>Type of investment required</w:t>
            </w:r>
          </w:p>
          <w:p w14:paraId="5BA51FEE" w14:textId="14667E5C" w:rsidR="00B311A7" w:rsidRPr="00BF2E9C" w:rsidRDefault="00B311A7" w:rsidP="00CE0FFD">
            <w:pPr>
              <w:rPr>
                <w:rFonts w:ascii="Century Gothic" w:hAnsi="Century Gothic"/>
                <w:bCs/>
                <w:sz w:val="18"/>
                <w:szCs w:val="18"/>
                <w:lang w:val="en-GB"/>
              </w:rPr>
            </w:pPr>
          </w:p>
        </w:tc>
        <w:tc>
          <w:tcPr>
            <w:tcW w:w="1119" w:type="pct"/>
            <w:tcBorders>
              <w:bottom w:val="single" w:sz="8" w:space="0" w:color="FFFFFF" w:themeColor="background1"/>
            </w:tcBorders>
            <w:shd w:val="clear" w:color="auto" w:fill="B8CCE4" w:themeFill="accent1" w:themeFillTint="66"/>
          </w:tcPr>
          <w:p w14:paraId="56906F31" w14:textId="12432E90" w:rsidR="00B311A7" w:rsidRPr="00BF2E9C" w:rsidRDefault="00B311A7" w:rsidP="00CE0FFD">
            <w:pPr>
              <w:jc w:val="center"/>
              <w:rPr>
                <w:rFonts w:ascii="Century Gothic" w:hAnsi="Century Gothic"/>
                <w:b/>
                <w:bCs/>
                <w:sz w:val="18"/>
                <w:szCs w:val="18"/>
                <w:lang w:val="en-GB"/>
              </w:rPr>
            </w:pPr>
            <w:r w:rsidRPr="00BF2E9C">
              <w:rPr>
                <w:rFonts w:ascii="Century Gothic" w:hAnsi="Century Gothic"/>
                <w:b/>
                <w:bCs/>
                <w:sz w:val="18"/>
                <w:szCs w:val="18"/>
                <w:lang w:val="en-GB"/>
              </w:rPr>
              <w:t>Applicability of financial threshold</w:t>
            </w:r>
          </w:p>
        </w:tc>
        <w:tc>
          <w:tcPr>
            <w:tcW w:w="1698" w:type="pct"/>
            <w:tcBorders>
              <w:bottom w:val="single" w:sz="8" w:space="0" w:color="FFFFFF" w:themeColor="background1"/>
            </w:tcBorders>
            <w:shd w:val="clear" w:color="auto" w:fill="B8CCE4" w:themeFill="accent1" w:themeFillTint="66"/>
          </w:tcPr>
          <w:p w14:paraId="2F86456B" w14:textId="1B849E15" w:rsidR="00B311A7" w:rsidRPr="00BF2E9C" w:rsidRDefault="00B311A7" w:rsidP="00CE0FFD">
            <w:pPr>
              <w:jc w:val="center"/>
              <w:rPr>
                <w:rFonts w:ascii="Century Gothic" w:hAnsi="Century Gothic"/>
                <w:b/>
                <w:bCs/>
                <w:sz w:val="18"/>
                <w:szCs w:val="18"/>
                <w:lang w:val="en-GB"/>
              </w:rPr>
            </w:pPr>
            <w:r w:rsidRPr="00BF2E9C">
              <w:rPr>
                <w:rFonts w:ascii="Century Gothic" w:hAnsi="Century Gothic"/>
                <w:b/>
                <w:bCs/>
                <w:sz w:val="18"/>
                <w:szCs w:val="18"/>
                <w:lang w:val="en-GB"/>
              </w:rPr>
              <w:t xml:space="preserve">Procedure to verify the </w:t>
            </w:r>
            <w:r w:rsidR="00590578" w:rsidRPr="00BF2E9C">
              <w:rPr>
                <w:rFonts w:ascii="Century Gothic" w:hAnsi="Century Gothic"/>
                <w:b/>
                <w:bCs/>
                <w:sz w:val="18"/>
                <w:szCs w:val="18"/>
                <w:lang w:val="en-GB"/>
              </w:rPr>
              <w:t>fulfilment</w:t>
            </w:r>
            <w:r w:rsidRPr="00BF2E9C">
              <w:rPr>
                <w:rFonts w:ascii="Century Gothic" w:hAnsi="Century Gothic"/>
                <w:b/>
                <w:bCs/>
                <w:sz w:val="18"/>
                <w:szCs w:val="18"/>
                <w:lang w:val="en-GB"/>
              </w:rPr>
              <w:t xml:space="preserve"> of the investment criterion</w:t>
            </w:r>
          </w:p>
        </w:tc>
        <w:tc>
          <w:tcPr>
            <w:tcW w:w="661" w:type="pct"/>
            <w:tcBorders>
              <w:bottom w:val="single" w:sz="8" w:space="0" w:color="FFFFFF" w:themeColor="background1"/>
            </w:tcBorders>
            <w:shd w:val="clear" w:color="auto" w:fill="B8CCE4" w:themeFill="accent1" w:themeFillTint="66"/>
          </w:tcPr>
          <w:p w14:paraId="1AB0C371" w14:textId="1E926ED4" w:rsidR="00B311A7" w:rsidRPr="00CE0FFD" w:rsidRDefault="00B311A7" w:rsidP="00CE0FFD">
            <w:pPr>
              <w:jc w:val="center"/>
              <w:rPr>
                <w:rFonts w:ascii="Century Gothic" w:hAnsi="Century Gothic"/>
                <w:b/>
                <w:bCs/>
                <w:sz w:val="18"/>
                <w:szCs w:val="18"/>
                <w:lang w:val="en-GB"/>
              </w:rPr>
            </w:pPr>
            <w:r w:rsidRPr="00BF2E9C">
              <w:rPr>
                <w:rFonts w:ascii="Century Gothic" w:hAnsi="Century Gothic"/>
                <w:b/>
                <w:bCs/>
                <w:sz w:val="18"/>
                <w:szCs w:val="18"/>
                <w:lang w:val="en-GB"/>
              </w:rPr>
              <w:t>Competent authorities and non-public bodies</w:t>
            </w:r>
          </w:p>
        </w:tc>
      </w:tr>
      <w:tr w:rsidR="00780E1F" w:rsidRPr="00780E1F" w14:paraId="33B4E656" w14:textId="77777777" w:rsidTr="00780E1F">
        <w:tc>
          <w:tcPr>
            <w:tcW w:w="5000" w:type="pct"/>
            <w:gridSpan w:val="4"/>
            <w:shd w:val="clear" w:color="auto" w:fill="B6DDE8" w:themeFill="accent5" w:themeFillTint="66"/>
          </w:tcPr>
          <w:p w14:paraId="519DF460" w14:textId="66B1FC0C" w:rsidR="00780E1F" w:rsidRPr="00BF2E9C" w:rsidRDefault="00780E1F" w:rsidP="00C83D3F">
            <w:pPr>
              <w:jc w:val="both"/>
              <w:rPr>
                <w:rFonts w:ascii="Century Gothic" w:hAnsi="Century Gothic"/>
                <w:b/>
                <w:bCs/>
                <w:sz w:val="18"/>
                <w:szCs w:val="18"/>
                <w:lang w:val="en-GB"/>
              </w:rPr>
            </w:pPr>
            <w:r>
              <w:rPr>
                <w:rFonts w:ascii="Century Gothic" w:hAnsi="Century Gothic"/>
                <w:b/>
                <w:bCs/>
                <w:sz w:val="18"/>
                <w:szCs w:val="18"/>
                <w:lang w:val="en-GB"/>
              </w:rPr>
              <w:t>MRVP</w:t>
            </w:r>
          </w:p>
        </w:tc>
      </w:tr>
      <w:tr w:rsidR="00CE0FFD" w:rsidRPr="006B5ED7" w14:paraId="3AB0A5E0" w14:textId="77777777" w:rsidTr="00C83D3F">
        <w:trPr>
          <w:trHeight w:val="2532"/>
        </w:trPr>
        <w:tc>
          <w:tcPr>
            <w:tcW w:w="1522" w:type="pct"/>
            <w:shd w:val="clear" w:color="auto" w:fill="F2F2F2" w:themeFill="background1" w:themeFillShade="F2"/>
          </w:tcPr>
          <w:p w14:paraId="3A576157" w14:textId="02AAC7E8" w:rsidR="00E3010C" w:rsidRPr="00364DF3" w:rsidRDefault="00E3010C" w:rsidP="00364DF3">
            <w:pPr>
              <w:jc w:val="both"/>
              <w:rPr>
                <w:rFonts w:ascii="Century Gothic" w:hAnsi="Century Gothic"/>
                <w:bCs/>
                <w:sz w:val="18"/>
                <w:szCs w:val="18"/>
                <w:lang w:val="en-GB"/>
              </w:rPr>
            </w:pPr>
            <w:r w:rsidRPr="00D34BF8">
              <w:rPr>
                <w:rFonts w:ascii="Century Gothic" w:hAnsi="Century Gothic"/>
                <w:b/>
                <w:bCs/>
                <w:sz w:val="18"/>
                <w:szCs w:val="18"/>
                <w:lang w:val="en-GB"/>
              </w:rPr>
              <w:t>Payment of the</w:t>
            </w:r>
            <w:r w:rsidRPr="00364DF3">
              <w:rPr>
                <w:rFonts w:ascii="Century Gothic" w:hAnsi="Century Gothic"/>
                <w:bCs/>
                <w:sz w:val="18"/>
                <w:szCs w:val="18"/>
                <w:lang w:val="en-GB"/>
              </w:rPr>
              <w:t xml:space="preserve"> </w:t>
            </w:r>
            <w:r w:rsidRPr="00364DF3">
              <w:rPr>
                <w:rFonts w:ascii="Century Gothic" w:hAnsi="Century Gothic"/>
                <w:b/>
                <w:bCs/>
                <w:sz w:val="18"/>
                <w:szCs w:val="18"/>
                <w:lang w:val="en-GB"/>
              </w:rPr>
              <w:t>contribution</w:t>
            </w:r>
            <w:r w:rsidRPr="00364DF3">
              <w:rPr>
                <w:rFonts w:ascii="Century Gothic" w:hAnsi="Century Gothic"/>
                <w:bCs/>
                <w:sz w:val="18"/>
                <w:szCs w:val="18"/>
                <w:lang w:val="en-GB"/>
              </w:rPr>
              <w:t>, that is, EUR 30,000, and, where applicable, EUR 5,0</w:t>
            </w:r>
            <w:r w:rsidR="0038535C">
              <w:rPr>
                <w:rFonts w:ascii="Century Gothic" w:hAnsi="Century Gothic"/>
                <w:bCs/>
                <w:sz w:val="18"/>
                <w:szCs w:val="18"/>
                <w:lang w:val="en-GB"/>
              </w:rPr>
              <w:t>0</w:t>
            </w:r>
            <w:r w:rsidRPr="00364DF3">
              <w:rPr>
                <w:rFonts w:ascii="Century Gothic" w:hAnsi="Century Gothic"/>
                <w:bCs/>
                <w:sz w:val="18"/>
                <w:szCs w:val="18"/>
                <w:lang w:val="en-GB"/>
              </w:rPr>
              <w:t>0 per parent or grandparent of the main applicant or of the spouse (Regulation</w:t>
            </w:r>
            <w:r w:rsidR="00D34BF8">
              <w:rPr>
                <w:rFonts w:ascii="Century Gothic" w:hAnsi="Century Gothic"/>
                <w:bCs/>
                <w:sz w:val="18"/>
                <w:szCs w:val="18"/>
                <w:lang w:val="en-GB"/>
              </w:rPr>
              <w:t>s</w:t>
            </w:r>
            <w:r w:rsidRPr="00364DF3">
              <w:rPr>
                <w:rFonts w:ascii="Century Gothic" w:hAnsi="Century Gothic"/>
                <w:bCs/>
                <w:sz w:val="18"/>
                <w:szCs w:val="18"/>
                <w:lang w:val="en-GB"/>
              </w:rPr>
              <w:t xml:space="preserve"> 2</w:t>
            </w:r>
            <w:r w:rsidR="00D34BF8">
              <w:rPr>
                <w:rFonts w:ascii="Century Gothic" w:hAnsi="Century Gothic"/>
                <w:bCs/>
                <w:sz w:val="18"/>
                <w:szCs w:val="18"/>
                <w:lang w:val="en-GB"/>
              </w:rPr>
              <w:t xml:space="preserve"> and 5(3)</w:t>
            </w:r>
            <w:r w:rsidRPr="00364DF3">
              <w:rPr>
                <w:rFonts w:ascii="Century Gothic" w:hAnsi="Century Gothic"/>
                <w:bCs/>
                <w:sz w:val="18"/>
                <w:szCs w:val="18"/>
                <w:lang w:val="en-GB"/>
              </w:rPr>
              <w:t xml:space="preserve"> of LN 288/2015).</w:t>
            </w:r>
            <w:r w:rsidR="00AF4D0C">
              <w:rPr>
                <w:rFonts w:ascii="Century Gothic" w:hAnsi="Century Gothic"/>
                <w:bCs/>
                <w:sz w:val="18"/>
                <w:szCs w:val="18"/>
                <w:lang w:val="en-GB"/>
              </w:rPr>
              <w:t xml:space="preserve"> The contribution is paid by bank transfer to MRVA’s bank account.</w:t>
            </w:r>
            <w:r w:rsidR="00AF4D0C">
              <w:rPr>
                <w:rStyle w:val="FootnoteReference"/>
                <w:rFonts w:ascii="Century Gothic" w:hAnsi="Century Gothic"/>
                <w:bCs/>
                <w:sz w:val="18"/>
                <w:szCs w:val="18"/>
                <w:lang w:val="en-GB"/>
              </w:rPr>
              <w:footnoteReference w:id="116"/>
            </w:r>
          </w:p>
          <w:p w14:paraId="3C1C0B85" w14:textId="77777777" w:rsidR="008D50F9" w:rsidRDefault="008D50F9" w:rsidP="00364DF3">
            <w:pPr>
              <w:jc w:val="both"/>
              <w:rPr>
                <w:rFonts w:ascii="Century Gothic" w:hAnsi="Century Gothic"/>
                <w:bCs/>
                <w:sz w:val="18"/>
                <w:szCs w:val="18"/>
                <w:lang w:val="en-GB"/>
              </w:rPr>
            </w:pPr>
          </w:p>
          <w:p w14:paraId="2568A413" w14:textId="3A6B294C" w:rsidR="008D50F9" w:rsidRDefault="008D50F9" w:rsidP="00364DF3">
            <w:pPr>
              <w:jc w:val="both"/>
              <w:rPr>
                <w:rFonts w:ascii="Century Gothic" w:hAnsi="Century Gothic"/>
                <w:bCs/>
                <w:sz w:val="18"/>
                <w:szCs w:val="18"/>
                <w:lang w:val="en-GB"/>
              </w:rPr>
            </w:pPr>
            <w:r>
              <w:rPr>
                <w:rFonts w:ascii="Century Gothic" w:hAnsi="Century Gothic"/>
                <w:bCs/>
                <w:sz w:val="18"/>
                <w:szCs w:val="18"/>
                <w:lang w:val="en-GB"/>
              </w:rPr>
              <w:t>And</w:t>
            </w:r>
          </w:p>
          <w:p w14:paraId="3518334A" w14:textId="77777777" w:rsidR="008D50F9" w:rsidRDefault="008D50F9" w:rsidP="00364DF3">
            <w:pPr>
              <w:jc w:val="both"/>
              <w:rPr>
                <w:rFonts w:ascii="Century Gothic" w:hAnsi="Century Gothic"/>
                <w:bCs/>
                <w:sz w:val="18"/>
                <w:szCs w:val="18"/>
                <w:lang w:val="en-GB"/>
              </w:rPr>
            </w:pPr>
          </w:p>
          <w:p w14:paraId="4F85C762" w14:textId="7E9BF676" w:rsidR="00E3010C" w:rsidRPr="00364DF3" w:rsidRDefault="00E3010C" w:rsidP="00364DF3">
            <w:pPr>
              <w:jc w:val="both"/>
              <w:rPr>
                <w:rFonts w:ascii="Century Gothic" w:hAnsi="Century Gothic"/>
                <w:bCs/>
                <w:sz w:val="18"/>
                <w:szCs w:val="18"/>
                <w:lang w:val="en-GB"/>
              </w:rPr>
            </w:pPr>
            <w:r w:rsidRPr="00364DF3">
              <w:rPr>
                <w:rFonts w:ascii="Century Gothic" w:hAnsi="Century Gothic"/>
                <w:b/>
                <w:bCs/>
                <w:sz w:val="18"/>
                <w:szCs w:val="18"/>
                <w:lang w:val="en-GB"/>
              </w:rPr>
              <w:t>Purchase or lease of qualifying property</w:t>
            </w:r>
            <w:r w:rsidR="008D50F9">
              <w:rPr>
                <w:rFonts w:ascii="Century Gothic" w:hAnsi="Century Gothic"/>
                <w:b/>
                <w:bCs/>
                <w:sz w:val="18"/>
                <w:szCs w:val="18"/>
                <w:lang w:val="en-GB"/>
              </w:rPr>
              <w:t xml:space="preserve"> (either a qualifying owned property or a qualifying rented property)</w:t>
            </w:r>
            <w:r w:rsidRPr="00364DF3">
              <w:rPr>
                <w:rFonts w:ascii="Century Gothic" w:hAnsi="Century Gothic"/>
                <w:bCs/>
                <w:sz w:val="18"/>
                <w:szCs w:val="18"/>
                <w:lang w:val="en-GB"/>
              </w:rPr>
              <w:t>:</w:t>
            </w:r>
          </w:p>
          <w:p w14:paraId="5C7449A6" w14:textId="1D9F1C61" w:rsidR="00E3010C" w:rsidRPr="00D34BF8" w:rsidRDefault="00364DF3" w:rsidP="00364DF3">
            <w:pPr>
              <w:jc w:val="both"/>
              <w:rPr>
                <w:rFonts w:ascii="Century Gothic" w:hAnsi="Century Gothic"/>
                <w:bCs/>
                <w:sz w:val="18"/>
                <w:szCs w:val="18"/>
                <w:lang w:val="en-GB"/>
              </w:rPr>
            </w:pPr>
            <w:r w:rsidRPr="00364DF3">
              <w:rPr>
                <w:rFonts w:ascii="Century Gothic" w:hAnsi="Century Gothic"/>
                <w:bCs/>
                <w:sz w:val="18"/>
                <w:szCs w:val="18"/>
                <w:lang w:val="en-GB"/>
              </w:rPr>
              <w:t xml:space="preserve">- </w:t>
            </w:r>
            <w:r w:rsidR="00E3010C" w:rsidRPr="00364DF3">
              <w:rPr>
                <w:rFonts w:ascii="Century Gothic" w:hAnsi="Century Gothic"/>
                <w:bCs/>
                <w:sz w:val="18"/>
                <w:szCs w:val="18"/>
                <w:lang w:val="en-GB"/>
              </w:rPr>
              <w:t xml:space="preserve">Qualifying owned property is an immovable property situated in Malta purchased for not less than EUR 320,000 </w:t>
            </w:r>
            <w:r w:rsidR="00E3010C" w:rsidRPr="00364DF3">
              <w:rPr>
                <w:rFonts w:ascii="Century Gothic" w:hAnsi="Century Gothic"/>
                <w:b/>
                <w:bCs/>
                <w:sz w:val="18"/>
                <w:szCs w:val="18"/>
                <w:lang w:val="en-GB"/>
              </w:rPr>
              <w:t xml:space="preserve">or </w:t>
            </w:r>
            <w:r w:rsidR="00E3010C" w:rsidRPr="00364DF3">
              <w:rPr>
                <w:rFonts w:ascii="Century Gothic" w:hAnsi="Century Gothic"/>
                <w:bCs/>
                <w:sz w:val="18"/>
                <w:szCs w:val="18"/>
                <w:lang w:val="en-GB"/>
              </w:rPr>
              <w:t>an immovable property situated in the south of Malta</w:t>
            </w:r>
            <w:r w:rsidR="00E153EF">
              <w:rPr>
                <w:rStyle w:val="FootnoteReference"/>
                <w:rFonts w:ascii="Century Gothic" w:hAnsi="Century Gothic"/>
                <w:bCs/>
                <w:sz w:val="18"/>
                <w:szCs w:val="18"/>
                <w:lang w:val="en-GB"/>
              </w:rPr>
              <w:footnoteReference w:id="117"/>
            </w:r>
            <w:r w:rsidR="00E3010C" w:rsidRPr="00364DF3">
              <w:rPr>
                <w:rFonts w:ascii="Century Gothic" w:hAnsi="Century Gothic"/>
                <w:bCs/>
                <w:sz w:val="18"/>
                <w:szCs w:val="18"/>
                <w:lang w:val="en-GB"/>
              </w:rPr>
              <w:t xml:space="preserve"> or in </w:t>
            </w:r>
            <w:proofErr w:type="spellStart"/>
            <w:r w:rsidR="00E3010C" w:rsidRPr="00364DF3">
              <w:rPr>
                <w:rFonts w:ascii="Century Gothic" w:hAnsi="Century Gothic"/>
                <w:bCs/>
                <w:sz w:val="18"/>
                <w:szCs w:val="18"/>
                <w:lang w:val="en-GB"/>
              </w:rPr>
              <w:t>Goz</w:t>
            </w:r>
            <w:r w:rsidRPr="00364DF3">
              <w:rPr>
                <w:rFonts w:ascii="Century Gothic" w:hAnsi="Century Gothic"/>
                <w:bCs/>
                <w:sz w:val="18"/>
                <w:szCs w:val="18"/>
                <w:lang w:val="en-GB"/>
              </w:rPr>
              <w:t>o</w:t>
            </w:r>
            <w:proofErr w:type="spellEnd"/>
            <w:r w:rsidRPr="00364DF3">
              <w:rPr>
                <w:rFonts w:ascii="Century Gothic" w:hAnsi="Century Gothic"/>
                <w:bCs/>
                <w:sz w:val="18"/>
                <w:szCs w:val="18"/>
                <w:lang w:val="en-GB"/>
              </w:rPr>
              <w:t xml:space="preserve"> for not less than EUR 270,000.  Immovable property purchased before the entry into force of LN 288/2015 (25 August 2015) for lower amounts is considered to be a ‘qualifying owned property’ if its value, as declared on the date of application by the main applicant is not less than these amounts as supported by a separate and independent architect valuation including architect’s plan delivered to the MVRA upon application. The MRVA Executive Chairman must authorise an MRVA </w:t>
            </w:r>
            <w:r w:rsidRPr="00364DF3">
              <w:rPr>
                <w:rFonts w:ascii="Century Gothic" w:hAnsi="Century Gothic"/>
                <w:bCs/>
                <w:sz w:val="18"/>
                <w:szCs w:val="18"/>
                <w:lang w:val="en-GB"/>
              </w:rPr>
              <w:lastRenderedPageBreak/>
              <w:t>Officer and/or third party, architect or surveyor to have full and free access to the property to the extent that this access is likely to assist him in dete</w:t>
            </w:r>
            <w:r w:rsidR="00D34BF8">
              <w:rPr>
                <w:rFonts w:ascii="Century Gothic" w:hAnsi="Century Gothic"/>
                <w:bCs/>
                <w:sz w:val="18"/>
                <w:szCs w:val="18"/>
                <w:lang w:val="en-GB"/>
              </w:rPr>
              <w:t xml:space="preserve">rmining </w:t>
            </w:r>
            <w:r w:rsidRPr="00364DF3">
              <w:rPr>
                <w:rFonts w:ascii="Century Gothic" w:hAnsi="Century Gothic"/>
                <w:bCs/>
                <w:sz w:val="18"/>
                <w:szCs w:val="18"/>
                <w:lang w:val="en-GB"/>
              </w:rPr>
              <w:t>the property’</w:t>
            </w:r>
            <w:r>
              <w:rPr>
                <w:rFonts w:ascii="Century Gothic" w:hAnsi="Century Gothic"/>
                <w:bCs/>
                <w:sz w:val="18"/>
                <w:szCs w:val="18"/>
                <w:lang w:val="en-GB"/>
              </w:rPr>
              <w:t xml:space="preserve">s value </w:t>
            </w:r>
            <w:r w:rsidRPr="00364DF3">
              <w:rPr>
                <w:rFonts w:ascii="Century Gothic" w:hAnsi="Century Gothic"/>
                <w:bCs/>
                <w:sz w:val="18"/>
                <w:szCs w:val="18"/>
                <w:lang w:val="en-GB"/>
              </w:rPr>
              <w:t xml:space="preserve">(Regulation 2 of </w:t>
            </w:r>
            <w:r w:rsidRPr="00D34BF8">
              <w:rPr>
                <w:rFonts w:ascii="Century Gothic" w:hAnsi="Century Gothic"/>
                <w:bCs/>
                <w:sz w:val="18"/>
                <w:szCs w:val="18"/>
                <w:lang w:val="en-GB"/>
              </w:rPr>
              <w:t>LN 288/2015).</w:t>
            </w:r>
          </w:p>
          <w:p w14:paraId="453E2AEF" w14:textId="1505FE65" w:rsidR="00E3010C" w:rsidRPr="008D50F9" w:rsidRDefault="00364DF3" w:rsidP="00364DF3">
            <w:pPr>
              <w:jc w:val="both"/>
              <w:rPr>
                <w:rFonts w:ascii="Century Gothic" w:hAnsi="Century Gothic"/>
                <w:bCs/>
                <w:sz w:val="18"/>
                <w:szCs w:val="18"/>
                <w:lang w:val="en-GB"/>
              </w:rPr>
            </w:pPr>
            <w:r w:rsidRPr="00D34BF8">
              <w:rPr>
                <w:rFonts w:ascii="Century Gothic" w:hAnsi="Century Gothic"/>
                <w:bCs/>
                <w:sz w:val="18"/>
                <w:szCs w:val="18"/>
                <w:lang w:val="en-GB"/>
              </w:rPr>
              <w:t>-</w:t>
            </w:r>
            <w:r w:rsidR="00F72A78">
              <w:rPr>
                <w:rFonts w:ascii="Century Gothic" w:hAnsi="Century Gothic"/>
                <w:bCs/>
                <w:sz w:val="18"/>
                <w:szCs w:val="18"/>
                <w:lang w:val="en-GB"/>
              </w:rPr>
              <w:t xml:space="preserve"> </w:t>
            </w:r>
            <w:r w:rsidR="00E3010C" w:rsidRPr="00D34BF8">
              <w:rPr>
                <w:rFonts w:ascii="Century Gothic" w:hAnsi="Century Gothic"/>
                <w:bCs/>
                <w:sz w:val="18"/>
                <w:szCs w:val="18"/>
                <w:lang w:val="en-GB"/>
              </w:rPr>
              <w:t>Qua</w:t>
            </w:r>
            <w:r w:rsidR="000A5990" w:rsidRPr="00D34BF8">
              <w:rPr>
                <w:rFonts w:ascii="Century Gothic" w:hAnsi="Century Gothic"/>
                <w:bCs/>
                <w:sz w:val="18"/>
                <w:szCs w:val="18"/>
                <w:lang w:val="en-GB"/>
              </w:rPr>
              <w:t>lifying</w:t>
            </w:r>
            <w:r w:rsidR="00E3010C" w:rsidRPr="00D34BF8">
              <w:rPr>
                <w:rFonts w:ascii="Century Gothic" w:hAnsi="Century Gothic"/>
                <w:bCs/>
                <w:sz w:val="18"/>
                <w:szCs w:val="18"/>
                <w:lang w:val="en-GB"/>
              </w:rPr>
              <w:t xml:space="preserve"> rented property is property taken on lease for a rent of not less than EUR 12,000 per annum for a property situated in Malta </w:t>
            </w:r>
            <w:r w:rsidR="00E3010C" w:rsidRPr="00D34BF8">
              <w:rPr>
                <w:rFonts w:ascii="Century Gothic" w:hAnsi="Century Gothic"/>
                <w:b/>
                <w:bCs/>
                <w:sz w:val="18"/>
                <w:szCs w:val="18"/>
                <w:lang w:val="en-GB"/>
              </w:rPr>
              <w:t>or</w:t>
            </w:r>
            <w:r w:rsidR="00E3010C" w:rsidRPr="00D34BF8">
              <w:rPr>
                <w:rFonts w:ascii="Century Gothic" w:hAnsi="Century Gothic"/>
                <w:bCs/>
                <w:sz w:val="18"/>
                <w:szCs w:val="18"/>
                <w:lang w:val="en-GB"/>
              </w:rPr>
              <w:t xml:space="preserve"> not less than EUR 10,000 </w:t>
            </w:r>
            <w:r w:rsidR="00D34BF8">
              <w:rPr>
                <w:rFonts w:ascii="Century Gothic" w:hAnsi="Century Gothic"/>
                <w:bCs/>
                <w:sz w:val="18"/>
                <w:szCs w:val="18"/>
                <w:lang w:val="en-GB"/>
              </w:rPr>
              <w:t xml:space="preserve">per annum </w:t>
            </w:r>
            <w:r w:rsidR="00E3010C" w:rsidRPr="00D34BF8">
              <w:rPr>
                <w:rFonts w:ascii="Century Gothic" w:hAnsi="Century Gothic"/>
                <w:bCs/>
                <w:sz w:val="18"/>
                <w:szCs w:val="18"/>
                <w:lang w:val="en-GB"/>
              </w:rPr>
              <w:t>for a property situated in the south of Malta</w:t>
            </w:r>
            <w:r w:rsidR="00E3010C" w:rsidRPr="008D50F9">
              <w:rPr>
                <w:rFonts w:ascii="Century Gothic" w:hAnsi="Century Gothic"/>
                <w:bCs/>
                <w:sz w:val="18"/>
                <w:szCs w:val="18"/>
                <w:lang w:val="en-GB"/>
              </w:rPr>
              <w:t xml:space="preserve"> or in </w:t>
            </w:r>
            <w:proofErr w:type="spellStart"/>
            <w:r w:rsidR="00E3010C" w:rsidRPr="008D50F9">
              <w:rPr>
                <w:rFonts w:ascii="Century Gothic" w:hAnsi="Century Gothic"/>
                <w:bCs/>
                <w:sz w:val="18"/>
                <w:szCs w:val="18"/>
                <w:lang w:val="en-GB"/>
              </w:rPr>
              <w:t>Gozo</w:t>
            </w:r>
            <w:proofErr w:type="spellEnd"/>
            <w:r w:rsidRPr="008D50F9">
              <w:rPr>
                <w:rFonts w:ascii="Century Gothic" w:hAnsi="Century Gothic"/>
                <w:bCs/>
                <w:sz w:val="18"/>
                <w:szCs w:val="18"/>
                <w:lang w:val="en-GB"/>
              </w:rPr>
              <w:t xml:space="preserve"> </w:t>
            </w:r>
            <w:r w:rsidRPr="00364DF3">
              <w:rPr>
                <w:rFonts w:ascii="Century Gothic" w:hAnsi="Century Gothic"/>
                <w:bCs/>
                <w:sz w:val="18"/>
                <w:szCs w:val="18"/>
                <w:lang w:val="en-GB"/>
              </w:rPr>
              <w:t>(</w:t>
            </w:r>
            <w:r w:rsidR="00D34BF8" w:rsidRPr="00364DF3">
              <w:rPr>
                <w:rFonts w:ascii="Century Gothic" w:hAnsi="Century Gothic"/>
                <w:bCs/>
                <w:sz w:val="18"/>
                <w:szCs w:val="18"/>
                <w:lang w:val="en-GB"/>
              </w:rPr>
              <w:t>Regulation</w:t>
            </w:r>
            <w:r w:rsidR="00D34BF8">
              <w:rPr>
                <w:rFonts w:ascii="Century Gothic" w:hAnsi="Century Gothic"/>
                <w:bCs/>
                <w:sz w:val="18"/>
                <w:szCs w:val="18"/>
                <w:lang w:val="en-GB"/>
              </w:rPr>
              <w:t>s</w:t>
            </w:r>
            <w:r w:rsidR="00D34BF8" w:rsidRPr="00364DF3">
              <w:rPr>
                <w:rFonts w:ascii="Century Gothic" w:hAnsi="Century Gothic"/>
                <w:bCs/>
                <w:sz w:val="18"/>
                <w:szCs w:val="18"/>
                <w:lang w:val="en-GB"/>
              </w:rPr>
              <w:t xml:space="preserve"> 2</w:t>
            </w:r>
            <w:r w:rsidR="00D34BF8">
              <w:rPr>
                <w:rFonts w:ascii="Century Gothic" w:hAnsi="Century Gothic"/>
                <w:bCs/>
                <w:sz w:val="18"/>
                <w:szCs w:val="18"/>
                <w:lang w:val="en-GB"/>
              </w:rPr>
              <w:t xml:space="preserve"> and 5(3)</w:t>
            </w:r>
            <w:r w:rsidR="00D34BF8" w:rsidRPr="00364DF3">
              <w:rPr>
                <w:rFonts w:ascii="Century Gothic" w:hAnsi="Century Gothic"/>
                <w:bCs/>
                <w:sz w:val="18"/>
                <w:szCs w:val="18"/>
                <w:lang w:val="en-GB"/>
              </w:rPr>
              <w:t xml:space="preserve"> </w:t>
            </w:r>
            <w:r w:rsidRPr="00364DF3">
              <w:rPr>
                <w:rFonts w:ascii="Century Gothic" w:hAnsi="Century Gothic"/>
                <w:bCs/>
                <w:sz w:val="18"/>
                <w:szCs w:val="18"/>
                <w:lang w:val="en-GB"/>
              </w:rPr>
              <w:t>of LN 288/2015)</w:t>
            </w:r>
            <w:r w:rsidR="00E3010C" w:rsidRPr="008D50F9">
              <w:rPr>
                <w:rFonts w:ascii="Century Gothic" w:hAnsi="Century Gothic"/>
                <w:bCs/>
                <w:sz w:val="18"/>
                <w:szCs w:val="18"/>
                <w:lang w:val="en-GB"/>
              </w:rPr>
              <w:t>.</w:t>
            </w:r>
          </w:p>
          <w:p w14:paraId="103FA331" w14:textId="74644A97" w:rsidR="008D50F9" w:rsidRDefault="008D50F9" w:rsidP="006170AA">
            <w:pPr>
              <w:jc w:val="both"/>
              <w:rPr>
                <w:rFonts w:ascii="Century Gothic" w:hAnsi="Century Gothic"/>
                <w:bCs/>
                <w:sz w:val="18"/>
                <w:szCs w:val="18"/>
                <w:lang w:val="en-GB"/>
              </w:rPr>
            </w:pPr>
          </w:p>
          <w:p w14:paraId="468E811C" w14:textId="39BEC78E" w:rsidR="008D50F9" w:rsidRDefault="008D50F9" w:rsidP="006170AA">
            <w:pPr>
              <w:jc w:val="both"/>
              <w:rPr>
                <w:rFonts w:ascii="Century Gothic" w:hAnsi="Century Gothic"/>
                <w:bCs/>
                <w:sz w:val="18"/>
                <w:szCs w:val="18"/>
                <w:lang w:val="en-GB"/>
              </w:rPr>
            </w:pPr>
            <w:r>
              <w:rPr>
                <w:rFonts w:ascii="Century Gothic" w:hAnsi="Century Gothic"/>
                <w:bCs/>
                <w:sz w:val="18"/>
                <w:szCs w:val="18"/>
                <w:lang w:val="en-GB"/>
              </w:rPr>
              <w:t>And</w:t>
            </w:r>
          </w:p>
          <w:p w14:paraId="66FA59B1" w14:textId="77777777" w:rsidR="008D50F9" w:rsidRDefault="008D50F9" w:rsidP="006170AA">
            <w:pPr>
              <w:jc w:val="both"/>
              <w:rPr>
                <w:rFonts w:ascii="Century Gothic" w:hAnsi="Century Gothic"/>
                <w:bCs/>
                <w:sz w:val="18"/>
                <w:szCs w:val="18"/>
                <w:lang w:val="en-GB"/>
              </w:rPr>
            </w:pPr>
          </w:p>
          <w:p w14:paraId="4DD074C8" w14:textId="10FF9B2D" w:rsidR="00B311A7" w:rsidRPr="00364DF3" w:rsidRDefault="00364DF3" w:rsidP="00364DF3">
            <w:pPr>
              <w:jc w:val="both"/>
              <w:rPr>
                <w:rFonts w:ascii="Century Gothic" w:hAnsi="Century Gothic"/>
                <w:bCs/>
                <w:sz w:val="18"/>
                <w:szCs w:val="18"/>
                <w:lang w:val="en-GB"/>
              </w:rPr>
            </w:pPr>
            <w:r w:rsidRPr="00364DF3">
              <w:rPr>
                <w:rFonts w:ascii="Century Gothic" w:hAnsi="Century Gothic"/>
                <w:b/>
                <w:bCs/>
                <w:sz w:val="18"/>
                <w:szCs w:val="18"/>
                <w:lang w:val="en-GB"/>
              </w:rPr>
              <w:t>Qualifying investment</w:t>
            </w:r>
            <w:r>
              <w:rPr>
                <w:rFonts w:ascii="Century Gothic" w:hAnsi="Century Gothic"/>
                <w:bCs/>
                <w:sz w:val="18"/>
                <w:szCs w:val="18"/>
                <w:lang w:val="en-GB"/>
              </w:rPr>
              <w:t xml:space="preserve">, </w:t>
            </w:r>
            <w:r w:rsidR="00E3010C" w:rsidRPr="00364DF3">
              <w:rPr>
                <w:rFonts w:ascii="Century Gothic" w:hAnsi="Century Gothic"/>
                <w:bCs/>
                <w:sz w:val="18"/>
                <w:szCs w:val="18"/>
                <w:lang w:val="en-GB"/>
              </w:rPr>
              <w:t xml:space="preserve">of </w:t>
            </w:r>
            <w:r>
              <w:rPr>
                <w:rFonts w:ascii="Century Gothic" w:hAnsi="Century Gothic"/>
                <w:bCs/>
                <w:sz w:val="18"/>
                <w:szCs w:val="18"/>
                <w:lang w:val="en-GB"/>
              </w:rPr>
              <w:t>an initial value of</w:t>
            </w:r>
            <w:r w:rsidR="00853583">
              <w:rPr>
                <w:rFonts w:ascii="Century Gothic" w:hAnsi="Century Gothic"/>
                <w:bCs/>
                <w:sz w:val="18"/>
                <w:szCs w:val="18"/>
                <w:lang w:val="en-GB"/>
              </w:rPr>
              <w:t xml:space="preserve"> </w:t>
            </w:r>
            <w:r>
              <w:rPr>
                <w:rFonts w:ascii="Century Gothic" w:hAnsi="Century Gothic"/>
                <w:bCs/>
                <w:sz w:val="18"/>
                <w:szCs w:val="18"/>
                <w:lang w:val="en-GB"/>
              </w:rPr>
              <w:t xml:space="preserve">EUR 250,000 </w:t>
            </w:r>
            <w:r w:rsidRPr="00364DF3">
              <w:rPr>
                <w:rFonts w:ascii="Century Gothic" w:hAnsi="Century Gothic"/>
                <w:bCs/>
                <w:sz w:val="18"/>
                <w:szCs w:val="18"/>
                <w:lang w:val="en-GB"/>
              </w:rPr>
              <w:t>(</w:t>
            </w:r>
            <w:r w:rsidR="00D34BF8" w:rsidRPr="00364DF3">
              <w:rPr>
                <w:rFonts w:ascii="Century Gothic" w:hAnsi="Century Gothic"/>
                <w:bCs/>
                <w:sz w:val="18"/>
                <w:szCs w:val="18"/>
                <w:lang w:val="en-GB"/>
              </w:rPr>
              <w:t>Regulation</w:t>
            </w:r>
            <w:r w:rsidR="00D34BF8">
              <w:rPr>
                <w:rFonts w:ascii="Century Gothic" w:hAnsi="Century Gothic"/>
                <w:bCs/>
                <w:sz w:val="18"/>
                <w:szCs w:val="18"/>
                <w:lang w:val="en-GB"/>
              </w:rPr>
              <w:t>s</w:t>
            </w:r>
            <w:r w:rsidR="00D34BF8" w:rsidRPr="00364DF3">
              <w:rPr>
                <w:rFonts w:ascii="Century Gothic" w:hAnsi="Century Gothic"/>
                <w:bCs/>
                <w:sz w:val="18"/>
                <w:szCs w:val="18"/>
                <w:lang w:val="en-GB"/>
              </w:rPr>
              <w:t xml:space="preserve"> 2</w:t>
            </w:r>
            <w:r w:rsidR="00D34BF8">
              <w:rPr>
                <w:rFonts w:ascii="Century Gothic" w:hAnsi="Century Gothic"/>
                <w:bCs/>
                <w:sz w:val="18"/>
                <w:szCs w:val="18"/>
                <w:lang w:val="en-GB"/>
              </w:rPr>
              <w:t xml:space="preserve"> and 5(3)</w:t>
            </w:r>
            <w:r w:rsidR="00D34BF8" w:rsidRPr="00364DF3">
              <w:rPr>
                <w:rFonts w:ascii="Century Gothic" w:hAnsi="Century Gothic"/>
                <w:bCs/>
                <w:sz w:val="18"/>
                <w:szCs w:val="18"/>
                <w:lang w:val="en-GB"/>
              </w:rPr>
              <w:t xml:space="preserve"> </w:t>
            </w:r>
            <w:r w:rsidRPr="00364DF3">
              <w:rPr>
                <w:rFonts w:ascii="Century Gothic" w:hAnsi="Century Gothic"/>
                <w:bCs/>
                <w:sz w:val="18"/>
                <w:szCs w:val="18"/>
                <w:lang w:val="en-GB"/>
              </w:rPr>
              <w:t>of LN 288/2015).</w:t>
            </w:r>
            <w:r w:rsidR="006170AA">
              <w:rPr>
                <w:rFonts w:ascii="Century Gothic" w:hAnsi="Century Gothic"/>
                <w:bCs/>
                <w:sz w:val="18"/>
                <w:szCs w:val="18"/>
                <w:lang w:val="en-GB"/>
              </w:rPr>
              <w:t xml:space="preserve"> A q</w:t>
            </w:r>
            <w:r w:rsidR="006170AA" w:rsidRPr="00EA0883">
              <w:rPr>
                <w:rFonts w:ascii="Century Gothic" w:hAnsi="Century Gothic"/>
                <w:bCs/>
                <w:sz w:val="18"/>
                <w:szCs w:val="18"/>
                <w:lang w:val="en-GB"/>
              </w:rPr>
              <w:t>ualifying investment consists of Malta Gov</w:t>
            </w:r>
            <w:r w:rsidR="006170AA">
              <w:rPr>
                <w:rFonts w:ascii="Century Gothic" w:hAnsi="Century Gothic"/>
                <w:bCs/>
                <w:sz w:val="18"/>
                <w:szCs w:val="18"/>
                <w:lang w:val="en-GB"/>
              </w:rPr>
              <w:t xml:space="preserve">ernment Bonds in the amount of EUR </w:t>
            </w:r>
            <w:r w:rsidR="006170AA" w:rsidRPr="00EA0883">
              <w:rPr>
                <w:rFonts w:ascii="Century Gothic" w:hAnsi="Century Gothic"/>
                <w:bCs/>
                <w:sz w:val="18"/>
                <w:szCs w:val="18"/>
                <w:lang w:val="en-GB"/>
              </w:rPr>
              <w:t>250,000 (market value), purchased from a suitable stockbroker. Stock brokers/banking institutions handle the procedure for the purchase of the qualifying investment.</w:t>
            </w:r>
            <w:r w:rsidR="006170AA">
              <w:rPr>
                <w:rStyle w:val="FootnoteReference"/>
                <w:rFonts w:ascii="Century Gothic" w:hAnsi="Century Gothic"/>
                <w:bCs/>
                <w:sz w:val="18"/>
                <w:szCs w:val="18"/>
                <w:lang w:val="en-GB"/>
              </w:rPr>
              <w:footnoteReference w:id="118"/>
            </w:r>
            <w:r w:rsidR="006170AA">
              <w:rPr>
                <w:rFonts w:ascii="Century Gothic" w:hAnsi="Century Gothic"/>
                <w:bCs/>
                <w:sz w:val="18"/>
                <w:szCs w:val="18"/>
                <w:lang w:val="en-GB"/>
              </w:rPr>
              <w:t xml:space="preserve"> </w:t>
            </w:r>
          </w:p>
        </w:tc>
        <w:tc>
          <w:tcPr>
            <w:tcW w:w="1119" w:type="pct"/>
            <w:shd w:val="clear" w:color="auto" w:fill="F2F2F2" w:themeFill="background1" w:themeFillShade="F2"/>
          </w:tcPr>
          <w:p w14:paraId="23856A93" w14:textId="460B0B4E" w:rsidR="00B311A7" w:rsidRDefault="00364DF3" w:rsidP="00364DF3">
            <w:pPr>
              <w:jc w:val="both"/>
              <w:rPr>
                <w:rFonts w:ascii="Century Gothic" w:hAnsi="Century Gothic"/>
                <w:bCs/>
                <w:sz w:val="18"/>
                <w:szCs w:val="18"/>
                <w:lang w:val="en-GB"/>
              </w:rPr>
            </w:pPr>
            <w:r>
              <w:rPr>
                <w:rFonts w:ascii="Century Gothic" w:hAnsi="Century Gothic"/>
                <w:bCs/>
                <w:sz w:val="18"/>
                <w:szCs w:val="18"/>
                <w:lang w:val="en-GB"/>
              </w:rPr>
              <w:lastRenderedPageBreak/>
              <w:t>The financial thresholds are set out in the first column of this table.</w:t>
            </w:r>
          </w:p>
          <w:p w14:paraId="30BD8847" w14:textId="7221D692" w:rsidR="008D50F9" w:rsidRDefault="008D50F9" w:rsidP="00364DF3">
            <w:pPr>
              <w:jc w:val="both"/>
              <w:rPr>
                <w:rFonts w:ascii="Century Gothic" w:hAnsi="Century Gothic"/>
                <w:bCs/>
                <w:sz w:val="18"/>
                <w:szCs w:val="18"/>
                <w:lang w:val="en-GB"/>
              </w:rPr>
            </w:pPr>
          </w:p>
          <w:p w14:paraId="55B0C293" w14:textId="38F0D07C" w:rsidR="0094796D" w:rsidRDefault="008D50F9" w:rsidP="00364DF3">
            <w:pPr>
              <w:jc w:val="both"/>
              <w:rPr>
                <w:rFonts w:ascii="Century Gothic" w:hAnsi="Century Gothic"/>
                <w:bCs/>
                <w:sz w:val="18"/>
                <w:szCs w:val="18"/>
                <w:lang w:val="en-GB"/>
              </w:rPr>
            </w:pPr>
            <w:r>
              <w:rPr>
                <w:rFonts w:ascii="Century Gothic" w:hAnsi="Century Gothic"/>
                <w:bCs/>
                <w:sz w:val="18"/>
                <w:szCs w:val="18"/>
                <w:lang w:val="en-GB"/>
              </w:rPr>
              <w:t xml:space="preserve">The </w:t>
            </w:r>
            <w:r w:rsidRPr="004A44E6">
              <w:rPr>
                <w:rFonts w:ascii="Century Gothic" w:hAnsi="Century Gothic"/>
                <w:b/>
                <w:bCs/>
                <w:sz w:val="18"/>
                <w:szCs w:val="18"/>
                <w:lang w:val="en-GB"/>
              </w:rPr>
              <w:t>exact amount of money required to obtain the residence certificate</w:t>
            </w:r>
            <w:r>
              <w:rPr>
                <w:rFonts w:ascii="Century Gothic" w:hAnsi="Century Gothic"/>
                <w:bCs/>
                <w:sz w:val="18"/>
                <w:szCs w:val="18"/>
                <w:lang w:val="en-GB"/>
              </w:rPr>
              <w:t xml:space="preserve"> </w:t>
            </w:r>
            <w:r w:rsidRPr="008616A5">
              <w:rPr>
                <w:rFonts w:ascii="Century Gothic" w:hAnsi="Century Gothic"/>
                <w:b/>
                <w:bCs/>
                <w:sz w:val="18"/>
                <w:szCs w:val="18"/>
                <w:lang w:val="en-GB"/>
              </w:rPr>
              <w:t>depends on the specific circumstances</w:t>
            </w:r>
            <w:r>
              <w:rPr>
                <w:rFonts w:ascii="Century Gothic" w:hAnsi="Century Gothic"/>
                <w:bCs/>
                <w:sz w:val="18"/>
                <w:szCs w:val="18"/>
                <w:lang w:val="en-GB"/>
              </w:rPr>
              <w:t xml:space="preserve"> e.g. whether the application includes </w:t>
            </w:r>
            <w:r w:rsidR="00853583">
              <w:rPr>
                <w:rFonts w:ascii="Century Gothic" w:hAnsi="Century Gothic"/>
                <w:bCs/>
                <w:sz w:val="18"/>
                <w:szCs w:val="18"/>
                <w:lang w:val="en-GB"/>
              </w:rPr>
              <w:t>dependants</w:t>
            </w:r>
            <w:r>
              <w:rPr>
                <w:rFonts w:ascii="Century Gothic" w:hAnsi="Century Gothic"/>
                <w:bCs/>
                <w:sz w:val="18"/>
                <w:szCs w:val="18"/>
                <w:lang w:val="en-GB"/>
              </w:rPr>
              <w:t xml:space="preserve"> or not and </w:t>
            </w:r>
            <w:r w:rsidR="00853583">
              <w:rPr>
                <w:rFonts w:ascii="Century Gothic" w:hAnsi="Century Gothic"/>
                <w:bCs/>
                <w:sz w:val="18"/>
                <w:szCs w:val="18"/>
                <w:lang w:val="en-GB"/>
              </w:rPr>
              <w:t>whether</w:t>
            </w:r>
            <w:r>
              <w:rPr>
                <w:rFonts w:ascii="Century Gothic" w:hAnsi="Century Gothic"/>
                <w:bCs/>
                <w:sz w:val="18"/>
                <w:szCs w:val="18"/>
                <w:lang w:val="en-GB"/>
              </w:rPr>
              <w:t xml:space="preserve"> the qualifying property is owned or rented</w:t>
            </w:r>
            <w:r w:rsidR="00853583">
              <w:rPr>
                <w:rFonts w:ascii="Century Gothic" w:hAnsi="Century Gothic"/>
                <w:bCs/>
                <w:sz w:val="18"/>
                <w:szCs w:val="18"/>
                <w:lang w:val="en-GB"/>
              </w:rPr>
              <w:t xml:space="preserve"> as well as the location of this property</w:t>
            </w:r>
            <w:r>
              <w:rPr>
                <w:rFonts w:ascii="Century Gothic" w:hAnsi="Century Gothic"/>
                <w:bCs/>
                <w:sz w:val="18"/>
                <w:szCs w:val="18"/>
                <w:lang w:val="en-GB"/>
              </w:rPr>
              <w:t xml:space="preserve">. By way of example, in the case of an application by a main applicant with a qualifying owned property </w:t>
            </w:r>
            <w:r w:rsidR="00853583">
              <w:rPr>
                <w:rFonts w:ascii="Century Gothic" w:hAnsi="Century Gothic"/>
                <w:bCs/>
                <w:sz w:val="18"/>
                <w:szCs w:val="18"/>
                <w:lang w:val="en-GB"/>
              </w:rPr>
              <w:t xml:space="preserve">in Malta </w:t>
            </w:r>
            <w:r>
              <w:rPr>
                <w:rFonts w:ascii="Century Gothic" w:hAnsi="Century Gothic"/>
                <w:bCs/>
                <w:sz w:val="18"/>
                <w:szCs w:val="18"/>
                <w:lang w:val="en-GB"/>
              </w:rPr>
              <w:t>and no depend</w:t>
            </w:r>
            <w:r w:rsidR="00853583">
              <w:rPr>
                <w:rFonts w:ascii="Century Gothic" w:hAnsi="Century Gothic"/>
                <w:bCs/>
                <w:sz w:val="18"/>
                <w:szCs w:val="18"/>
                <w:lang w:val="en-GB"/>
              </w:rPr>
              <w:t>a</w:t>
            </w:r>
            <w:r>
              <w:rPr>
                <w:rFonts w:ascii="Century Gothic" w:hAnsi="Century Gothic"/>
                <w:bCs/>
                <w:sz w:val="18"/>
                <w:szCs w:val="18"/>
                <w:lang w:val="en-GB"/>
              </w:rPr>
              <w:t xml:space="preserve">nts the total </w:t>
            </w:r>
            <w:r w:rsidR="00853583">
              <w:rPr>
                <w:rFonts w:ascii="Century Gothic" w:hAnsi="Century Gothic"/>
                <w:bCs/>
                <w:sz w:val="18"/>
                <w:szCs w:val="18"/>
                <w:lang w:val="en-GB"/>
              </w:rPr>
              <w:t>disbursement required would amount to EUR 600,000 (EUR 30,000 (contribution) + EUR 320,000 (property) + EUR 250,000 (investment)).</w:t>
            </w:r>
          </w:p>
          <w:p w14:paraId="5FE66E90" w14:textId="262C7BC1" w:rsidR="0094796D" w:rsidRDefault="0094796D" w:rsidP="00364DF3">
            <w:pPr>
              <w:jc w:val="both"/>
              <w:rPr>
                <w:rFonts w:ascii="Century Gothic" w:hAnsi="Century Gothic"/>
                <w:bCs/>
                <w:sz w:val="18"/>
                <w:szCs w:val="18"/>
                <w:lang w:val="en-GB"/>
              </w:rPr>
            </w:pPr>
          </w:p>
          <w:p w14:paraId="511CFFEF" w14:textId="097AF54C" w:rsidR="000A5990" w:rsidRPr="00364DF3" w:rsidRDefault="0094796D" w:rsidP="00364DF3">
            <w:pPr>
              <w:jc w:val="both"/>
              <w:rPr>
                <w:rFonts w:ascii="Century Gothic" w:hAnsi="Century Gothic"/>
                <w:bCs/>
                <w:sz w:val="18"/>
                <w:szCs w:val="18"/>
                <w:lang w:val="en-GB"/>
              </w:rPr>
            </w:pPr>
            <w:r w:rsidRPr="0094796D">
              <w:rPr>
                <w:rFonts w:ascii="Century Gothic" w:hAnsi="Century Gothic"/>
                <w:bCs/>
                <w:sz w:val="18"/>
                <w:szCs w:val="18"/>
                <w:lang w:val="en-US"/>
              </w:rPr>
              <w:t xml:space="preserve">The applicant must also pay the </w:t>
            </w:r>
            <w:r w:rsidRPr="004A44E6">
              <w:rPr>
                <w:rFonts w:ascii="Century Gothic" w:hAnsi="Century Gothic"/>
                <w:b/>
                <w:bCs/>
                <w:sz w:val="18"/>
                <w:szCs w:val="18"/>
                <w:lang w:val="en-US"/>
              </w:rPr>
              <w:t>approved agent’s fees</w:t>
            </w:r>
            <w:r w:rsidRPr="0094796D">
              <w:rPr>
                <w:rFonts w:ascii="Century Gothic" w:hAnsi="Century Gothic"/>
                <w:bCs/>
                <w:sz w:val="18"/>
                <w:szCs w:val="18"/>
                <w:lang w:val="en-US"/>
              </w:rPr>
              <w:t xml:space="preserve">. These are determined by agreement between the agent and the client (applicant). It is therefore </w:t>
            </w:r>
            <w:r w:rsidRPr="0094796D">
              <w:rPr>
                <w:rFonts w:ascii="Century Gothic" w:hAnsi="Century Gothic"/>
                <w:bCs/>
                <w:sz w:val="18"/>
                <w:szCs w:val="18"/>
                <w:lang w:val="en-US"/>
              </w:rPr>
              <w:lastRenderedPageBreak/>
              <w:t>not possible to indicate the amount of these fees.</w:t>
            </w:r>
            <w:r w:rsidRPr="0094796D">
              <w:rPr>
                <w:rFonts w:ascii="Century Gothic" w:hAnsi="Century Gothic"/>
                <w:bCs/>
                <w:sz w:val="18"/>
                <w:szCs w:val="18"/>
                <w:vertAlign w:val="superscript"/>
                <w:lang w:val="en-US"/>
              </w:rPr>
              <w:footnoteReference w:id="119"/>
            </w:r>
          </w:p>
        </w:tc>
        <w:tc>
          <w:tcPr>
            <w:tcW w:w="1698" w:type="pct"/>
            <w:shd w:val="clear" w:color="auto" w:fill="F2F2F2" w:themeFill="background1" w:themeFillShade="F2"/>
          </w:tcPr>
          <w:p w14:paraId="4421CF49" w14:textId="4D212CB1" w:rsidR="00853583" w:rsidRDefault="00853583" w:rsidP="00D34BF8">
            <w:pPr>
              <w:jc w:val="both"/>
              <w:rPr>
                <w:rFonts w:ascii="Century Gothic" w:hAnsi="Century Gothic"/>
                <w:bCs/>
                <w:sz w:val="18"/>
                <w:szCs w:val="18"/>
                <w:lang w:val="en-GB"/>
              </w:rPr>
            </w:pPr>
            <w:r>
              <w:rPr>
                <w:rFonts w:ascii="Century Gothic" w:hAnsi="Century Gothic"/>
                <w:b/>
                <w:bCs/>
                <w:sz w:val="18"/>
                <w:szCs w:val="18"/>
                <w:lang w:val="en-GB"/>
              </w:rPr>
              <w:lastRenderedPageBreak/>
              <w:t>A</w:t>
            </w:r>
            <w:r w:rsidRPr="00623F1D">
              <w:rPr>
                <w:rFonts w:ascii="Century Gothic" w:hAnsi="Century Gothic"/>
                <w:b/>
                <w:bCs/>
                <w:sz w:val="18"/>
                <w:szCs w:val="18"/>
                <w:lang w:val="en-GB"/>
              </w:rPr>
              <w:t>fter the MRVA has issued the written determination to issue a residence certificate and before the certificate itself is issued</w:t>
            </w:r>
            <w:r>
              <w:rPr>
                <w:rFonts w:ascii="Century Gothic" w:hAnsi="Century Gothic"/>
                <w:b/>
                <w:bCs/>
                <w:sz w:val="18"/>
                <w:szCs w:val="18"/>
                <w:lang w:val="en-GB"/>
              </w:rPr>
              <w:t>,</w:t>
            </w:r>
            <w:r>
              <w:rPr>
                <w:rFonts w:ascii="Century Gothic" w:hAnsi="Century Gothic"/>
                <w:bCs/>
                <w:sz w:val="18"/>
                <w:szCs w:val="18"/>
                <w:lang w:val="en-GB"/>
              </w:rPr>
              <w:t xml:space="preserve"> t</w:t>
            </w:r>
            <w:r w:rsidR="00D34BF8">
              <w:rPr>
                <w:rFonts w:ascii="Century Gothic" w:hAnsi="Century Gothic"/>
                <w:bCs/>
                <w:sz w:val="18"/>
                <w:szCs w:val="18"/>
                <w:lang w:val="en-GB"/>
              </w:rPr>
              <w:t xml:space="preserve">he </w:t>
            </w:r>
            <w:r w:rsidR="00623F1D">
              <w:rPr>
                <w:rFonts w:ascii="Century Gothic" w:hAnsi="Century Gothic"/>
                <w:bCs/>
                <w:sz w:val="18"/>
                <w:szCs w:val="18"/>
                <w:lang w:val="en-GB"/>
              </w:rPr>
              <w:t>main applicant must</w:t>
            </w:r>
            <w:r>
              <w:rPr>
                <w:rFonts w:ascii="Century Gothic" w:hAnsi="Century Gothic"/>
                <w:bCs/>
                <w:sz w:val="18"/>
                <w:szCs w:val="18"/>
                <w:lang w:val="en-GB"/>
              </w:rPr>
              <w:t>:</w:t>
            </w:r>
          </w:p>
          <w:p w14:paraId="0D191130" w14:textId="40ACFB97" w:rsidR="00853583" w:rsidRDefault="00853583" w:rsidP="00D34BF8">
            <w:pPr>
              <w:jc w:val="both"/>
              <w:rPr>
                <w:rFonts w:ascii="Century Gothic" w:hAnsi="Century Gothic"/>
                <w:bCs/>
                <w:sz w:val="18"/>
                <w:szCs w:val="18"/>
                <w:lang w:val="en-GB"/>
              </w:rPr>
            </w:pPr>
            <w:r>
              <w:rPr>
                <w:rFonts w:ascii="Century Gothic" w:hAnsi="Century Gothic"/>
                <w:bCs/>
                <w:sz w:val="18"/>
                <w:szCs w:val="18"/>
                <w:lang w:val="en-GB"/>
              </w:rPr>
              <w:t>-</w:t>
            </w:r>
            <w:r w:rsidR="00623F1D">
              <w:rPr>
                <w:rFonts w:ascii="Century Gothic" w:hAnsi="Century Gothic"/>
                <w:bCs/>
                <w:sz w:val="18"/>
                <w:szCs w:val="18"/>
                <w:lang w:val="en-GB"/>
              </w:rPr>
              <w:t xml:space="preserve"> pay the contribution less the non-refundable administrative fee</w:t>
            </w:r>
            <w:r>
              <w:rPr>
                <w:rFonts w:ascii="Century Gothic" w:hAnsi="Century Gothic"/>
                <w:bCs/>
                <w:sz w:val="18"/>
                <w:szCs w:val="18"/>
                <w:lang w:val="en-GB"/>
              </w:rPr>
              <w:t xml:space="preserve"> (see point 1.1 of Section II above – this fee is EUR 5,</w:t>
            </w:r>
            <w:r w:rsidR="009C45AA">
              <w:rPr>
                <w:rFonts w:ascii="Century Gothic" w:hAnsi="Century Gothic"/>
                <w:bCs/>
                <w:sz w:val="18"/>
                <w:szCs w:val="18"/>
                <w:lang w:val="en-GB"/>
              </w:rPr>
              <w:t>5</w:t>
            </w:r>
            <w:r>
              <w:rPr>
                <w:rFonts w:ascii="Century Gothic" w:hAnsi="Century Gothic"/>
                <w:bCs/>
                <w:sz w:val="18"/>
                <w:szCs w:val="18"/>
                <w:lang w:val="en-GB"/>
              </w:rPr>
              <w:t>00 (of the EUR 30,000 contribution) that is paid up front when the application is submitted)</w:t>
            </w:r>
            <w:r w:rsidR="00623F1D">
              <w:rPr>
                <w:rFonts w:ascii="Century Gothic" w:hAnsi="Century Gothic"/>
                <w:bCs/>
                <w:sz w:val="18"/>
                <w:szCs w:val="18"/>
                <w:lang w:val="en-GB"/>
              </w:rPr>
              <w:t xml:space="preserve"> and </w:t>
            </w:r>
          </w:p>
          <w:p w14:paraId="35493969" w14:textId="10A82F96" w:rsidR="00853583" w:rsidRDefault="00853583" w:rsidP="00D34BF8">
            <w:pPr>
              <w:jc w:val="both"/>
              <w:rPr>
                <w:rFonts w:ascii="Century Gothic" w:hAnsi="Century Gothic"/>
                <w:bCs/>
                <w:sz w:val="18"/>
                <w:szCs w:val="18"/>
                <w:lang w:val="en-GB"/>
              </w:rPr>
            </w:pPr>
            <w:r>
              <w:rPr>
                <w:rFonts w:ascii="Century Gothic" w:hAnsi="Century Gothic"/>
                <w:bCs/>
                <w:sz w:val="18"/>
                <w:szCs w:val="18"/>
                <w:lang w:val="en-GB"/>
              </w:rPr>
              <w:t xml:space="preserve">- </w:t>
            </w:r>
            <w:proofErr w:type="spellStart"/>
            <w:r w:rsidR="00623F1D">
              <w:rPr>
                <w:rFonts w:ascii="Century Gothic" w:hAnsi="Century Gothic"/>
                <w:bCs/>
                <w:sz w:val="18"/>
                <w:szCs w:val="18"/>
                <w:lang w:val="en-GB"/>
              </w:rPr>
              <w:t>fulfill</w:t>
            </w:r>
            <w:proofErr w:type="spellEnd"/>
            <w:r w:rsidR="00623F1D">
              <w:rPr>
                <w:rFonts w:ascii="Century Gothic" w:hAnsi="Century Gothic"/>
                <w:bCs/>
                <w:sz w:val="18"/>
                <w:szCs w:val="18"/>
                <w:lang w:val="en-GB"/>
              </w:rPr>
              <w:t xml:space="preserve"> </w:t>
            </w:r>
            <w:r w:rsidR="007E297B">
              <w:rPr>
                <w:rFonts w:ascii="Century Gothic" w:hAnsi="Century Gothic"/>
                <w:bCs/>
                <w:sz w:val="18"/>
                <w:szCs w:val="18"/>
                <w:lang w:val="en-GB"/>
              </w:rPr>
              <w:t>the</w:t>
            </w:r>
            <w:r w:rsidR="00D34BF8">
              <w:rPr>
                <w:rFonts w:ascii="Century Gothic" w:hAnsi="Century Gothic"/>
                <w:bCs/>
                <w:sz w:val="18"/>
                <w:szCs w:val="18"/>
                <w:lang w:val="en-GB"/>
              </w:rPr>
              <w:t xml:space="preserve"> property and</w:t>
            </w:r>
            <w:r w:rsidR="007E297B">
              <w:rPr>
                <w:rFonts w:ascii="Century Gothic" w:hAnsi="Century Gothic"/>
                <w:bCs/>
                <w:sz w:val="18"/>
                <w:szCs w:val="18"/>
                <w:lang w:val="en-GB"/>
              </w:rPr>
              <w:t xml:space="preserve"> investment </w:t>
            </w:r>
            <w:r w:rsidR="00D34BF8">
              <w:rPr>
                <w:rFonts w:ascii="Century Gothic" w:hAnsi="Century Gothic"/>
                <w:bCs/>
                <w:sz w:val="18"/>
                <w:szCs w:val="18"/>
                <w:lang w:val="en-GB"/>
              </w:rPr>
              <w:t>criteria</w:t>
            </w:r>
            <w:r w:rsidR="008616A5">
              <w:rPr>
                <w:rFonts w:ascii="Century Gothic" w:hAnsi="Century Gothic"/>
                <w:bCs/>
                <w:sz w:val="18"/>
                <w:szCs w:val="18"/>
                <w:lang w:val="en-GB"/>
              </w:rPr>
              <w:t>.</w:t>
            </w:r>
            <w:r w:rsidR="00623F1D">
              <w:rPr>
                <w:rFonts w:ascii="Century Gothic" w:hAnsi="Century Gothic"/>
                <w:bCs/>
                <w:sz w:val="18"/>
                <w:szCs w:val="18"/>
                <w:lang w:val="en-GB"/>
              </w:rPr>
              <w:t xml:space="preserve"> </w:t>
            </w:r>
          </w:p>
          <w:p w14:paraId="0794711F" w14:textId="1FC00BCB" w:rsidR="00853583" w:rsidRDefault="00853583" w:rsidP="00D34BF8">
            <w:pPr>
              <w:jc w:val="both"/>
              <w:rPr>
                <w:rFonts w:ascii="Century Gothic" w:hAnsi="Century Gothic"/>
                <w:bCs/>
                <w:sz w:val="18"/>
                <w:szCs w:val="18"/>
                <w:lang w:val="en-GB"/>
              </w:rPr>
            </w:pPr>
          </w:p>
          <w:p w14:paraId="23CD2099" w14:textId="7CBAB728" w:rsidR="00D34BF8" w:rsidRDefault="00D34BF8" w:rsidP="00D34BF8">
            <w:pPr>
              <w:jc w:val="both"/>
              <w:rPr>
                <w:rFonts w:ascii="Century Gothic" w:hAnsi="Century Gothic"/>
                <w:bCs/>
                <w:sz w:val="18"/>
                <w:szCs w:val="18"/>
                <w:lang w:val="en-GB"/>
              </w:rPr>
            </w:pPr>
            <w:r>
              <w:rPr>
                <w:rFonts w:ascii="Century Gothic" w:hAnsi="Century Gothic"/>
                <w:bCs/>
                <w:sz w:val="18"/>
                <w:szCs w:val="18"/>
                <w:lang w:val="en-GB"/>
              </w:rPr>
              <w:t xml:space="preserve">The applicant must present a </w:t>
            </w:r>
            <w:r w:rsidRPr="00623F1D">
              <w:rPr>
                <w:rFonts w:ascii="Century Gothic" w:hAnsi="Century Gothic"/>
                <w:b/>
                <w:bCs/>
                <w:sz w:val="18"/>
                <w:szCs w:val="18"/>
                <w:lang w:val="en-GB"/>
              </w:rPr>
              <w:t>certificate proving the investment</w:t>
            </w:r>
            <w:r>
              <w:rPr>
                <w:rFonts w:ascii="Century Gothic" w:hAnsi="Century Gothic"/>
                <w:bCs/>
                <w:sz w:val="18"/>
                <w:szCs w:val="18"/>
                <w:lang w:val="en-GB"/>
              </w:rPr>
              <w:t xml:space="preserve"> and the </w:t>
            </w:r>
            <w:r w:rsidRPr="00623F1D">
              <w:rPr>
                <w:rFonts w:ascii="Century Gothic" w:hAnsi="Century Gothic"/>
                <w:b/>
                <w:bCs/>
                <w:sz w:val="18"/>
                <w:szCs w:val="18"/>
                <w:lang w:val="en-GB"/>
              </w:rPr>
              <w:t>document of title</w:t>
            </w:r>
            <w:r>
              <w:rPr>
                <w:rFonts w:ascii="Century Gothic" w:hAnsi="Century Gothic"/>
                <w:bCs/>
                <w:sz w:val="18"/>
                <w:szCs w:val="18"/>
                <w:lang w:val="en-GB"/>
              </w:rPr>
              <w:t xml:space="preserve"> to a qualifying property.</w:t>
            </w:r>
          </w:p>
          <w:p w14:paraId="25E6E490" w14:textId="77777777" w:rsidR="008206DC" w:rsidRDefault="008206DC" w:rsidP="00364DF3">
            <w:pPr>
              <w:jc w:val="both"/>
              <w:rPr>
                <w:rFonts w:ascii="Century Gothic" w:hAnsi="Century Gothic"/>
                <w:bCs/>
                <w:sz w:val="18"/>
                <w:szCs w:val="18"/>
                <w:lang w:val="en-GB"/>
              </w:rPr>
            </w:pPr>
          </w:p>
          <w:p w14:paraId="345CB461" w14:textId="77777777" w:rsidR="00692708" w:rsidRDefault="008206DC" w:rsidP="00364DF3">
            <w:pPr>
              <w:jc w:val="both"/>
              <w:rPr>
                <w:rFonts w:ascii="Century Gothic" w:hAnsi="Century Gothic"/>
                <w:bCs/>
                <w:sz w:val="18"/>
                <w:szCs w:val="18"/>
                <w:lang w:val="en-GB"/>
              </w:rPr>
            </w:pPr>
            <w:r>
              <w:rPr>
                <w:rFonts w:ascii="Century Gothic" w:hAnsi="Century Gothic"/>
                <w:bCs/>
                <w:sz w:val="18"/>
                <w:szCs w:val="18"/>
                <w:lang w:val="en-GB"/>
              </w:rPr>
              <w:t xml:space="preserve">The qualifying property and qualifying investment must be held for a </w:t>
            </w:r>
            <w:r w:rsidRPr="00956279">
              <w:rPr>
                <w:rFonts w:ascii="Century Gothic" w:hAnsi="Century Gothic"/>
                <w:b/>
                <w:bCs/>
                <w:sz w:val="18"/>
                <w:szCs w:val="18"/>
                <w:lang w:val="en-GB"/>
              </w:rPr>
              <w:t>minimum of five years from the date of issuance of the residence certificate</w:t>
            </w:r>
            <w:r>
              <w:rPr>
                <w:rFonts w:ascii="Century Gothic" w:hAnsi="Century Gothic"/>
                <w:bCs/>
                <w:sz w:val="18"/>
                <w:szCs w:val="18"/>
                <w:lang w:val="en-GB"/>
              </w:rPr>
              <w:t xml:space="preserve"> (Regulation 8(1)(c) and (d) of LN 288/2015). </w:t>
            </w:r>
          </w:p>
          <w:p w14:paraId="26CAC62F" w14:textId="108097A0" w:rsidR="00B311A7" w:rsidRDefault="00B311A7" w:rsidP="00364DF3">
            <w:pPr>
              <w:jc w:val="both"/>
              <w:rPr>
                <w:rFonts w:ascii="Century Gothic" w:hAnsi="Century Gothic"/>
                <w:bCs/>
                <w:sz w:val="18"/>
                <w:szCs w:val="18"/>
                <w:lang w:val="en-GB"/>
              </w:rPr>
            </w:pPr>
          </w:p>
          <w:p w14:paraId="26C6746F" w14:textId="7770A970" w:rsidR="008206DC" w:rsidRDefault="00DD7907" w:rsidP="00203384">
            <w:pPr>
              <w:jc w:val="both"/>
              <w:rPr>
                <w:rFonts w:ascii="Century Gothic" w:hAnsi="Century Gothic"/>
                <w:bCs/>
                <w:sz w:val="18"/>
                <w:szCs w:val="18"/>
                <w:lang w:val="en-GB"/>
              </w:rPr>
            </w:pPr>
            <w:r>
              <w:rPr>
                <w:rFonts w:ascii="Century Gothic" w:hAnsi="Century Gothic"/>
                <w:bCs/>
                <w:sz w:val="18"/>
                <w:szCs w:val="18"/>
                <w:lang w:val="en-GB"/>
              </w:rPr>
              <w:t xml:space="preserve">The law </w:t>
            </w:r>
            <w:r w:rsidRPr="00A934DA">
              <w:rPr>
                <w:rFonts w:ascii="Century Gothic" w:hAnsi="Century Gothic"/>
                <w:bCs/>
                <w:sz w:val="18"/>
                <w:szCs w:val="18"/>
                <w:lang w:val="en-GB"/>
              </w:rPr>
              <w:t xml:space="preserve">does </w:t>
            </w:r>
            <w:r w:rsidR="00CE0FFD">
              <w:rPr>
                <w:rFonts w:ascii="Century Gothic" w:hAnsi="Century Gothic"/>
                <w:bCs/>
                <w:sz w:val="18"/>
                <w:szCs w:val="18"/>
                <w:lang w:val="en-GB"/>
              </w:rPr>
              <w:t xml:space="preserve">not provide for </w:t>
            </w:r>
            <w:r w:rsidRPr="00A934DA">
              <w:rPr>
                <w:rFonts w:ascii="Century Gothic" w:hAnsi="Century Gothic"/>
                <w:bCs/>
                <w:sz w:val="18"/>
                <w:szCs w:val="18"/>
                <w:lang w:val="en-GB"/>
              </w:rPr>
              <w:t xml:space="preserve">checks. </w:t>
            </w:r>
            <w:r w:rsidR="00623F1D" w:rsidRPr="00A934DA">
              <w:rPr>
                <w:rFonts w:ascii="Century Gothic" w:hAnsi="Century Gothic"/>
                <w:bCs/>
                <w:sz w:val="18"/>
                <w:szCs w:val="18"/>
                <w:lang w:val="en-GB"/>
              </w:rPr>
              <w:t>There is only a general statement that o</w:t>
            </w:r>
            <w:r w:rsidRPr="00A934DA">
              <w:rPr>
                <w:rFonts w:ascii="Century Gothic" w:hAnsi="Century Gothic"/>
                <w:bCs/>
                <w:sz w:val="18"/>
                <w:szCs w:val="18"/>
                <w:lang w:val="en-GB"/>
              </w:rPr>
              <w:t xml:space="preserve">nce the certificate is issued it is </w:t>
            </w:r>
            <w:r w:rsidRPr="004A44E6">
              <w:rPr>
                <w:rFonts w:ascii="Century Gothic" w:hAnsi="Century Gothic"/>
                <w:b/>
                <w:bCs/>
                <w:sz w:val="18"/>
                <w:szCs w:val="18"/>
                <w:lang w:val="en-GB"/>
              </w:rPr>
              <w:t xml:space="preserve">monitored </w:t>
            </w:r>
            <w:r w:rsidR="00692708" w:rsidRPr="00A934DA">
              <w:rPr>
                <w:rFonts w:ascii="Century Gothic" w:hAnsi="Century Gothic"/>
                <w:bCs/>
                <w:sz w:val="18"/>
                <w:szCs w:val="18"/>
                <w:lang w:val="en-GB"/>
              </w:rPr>
              <w:t>annually</w:t>
            </w:r>
            <w:r w:rsidRPr="00A934DA">
              <w:rPr>
                <w:rFonts w:ascii="Century Gothic" w:hAnsi="Century Gothic"/>
                <w:bCs/>
                <w:sz w:val="18"/>
                <w:szCs w:val="18"/>
                <w:lang w:val="en-GB"/>
              </w:rPr>
              <w:t xml:space="preserve"> for the first five years and every five years thereafter</w:t>
            </w:r>
            <w:r w:rsidR="00A934DA" w:rsidRPr="00A934DA">
              <w:rPr>
                <w:rFonts w:ascii="Century Gothic" w:hAnsi="Century Gothic"/>
                <w:bCs/>
                <w:sz w:val="18"/>
                <w:szCs w:val="18"/>
                <w:lang w:val="en-GB"/>
              </w:rPr>
              <w:t xml:space="preserve"> (Regulation 4(a) of LN 288/2015)</w:t>
            </w:r>
            <w:r w:rsidRPr="00A934DA">
              <w:rPr>
                <w:rFonts w:ascii="Century Gothic" w:hAnsi="Century Gothic"/>
                <w:bCs/>
                <w:sz w:val="18"/>
                <w:szCs w:val="18"/>
                <w:lang w:val="en-GB"/>
              </w:rPr>
              <w:t>.</w:t>
            </w:r>
            <w:r w:rsidR="00623F1D">
              <w:rPr>
                <w:rFonts w:ascii="Century Gothic" w:hAnsi="Century Gothic"/>
                <w:bCs/>
                <w:sz w:val="18"/>
                <w:szCs w:val="18"/>
                <w:lang w:val="en-GB"/>
              </w:rPr>
              <w:t xml:space="preserve"> </w:t>
            </w:r>
            <w:r w:rsidR="00203384">
              <w:rPr>
                <w:rFonts w:ascii="Century Gothic" w:hAnsi="Century Gothic"/>
                <w:bCs/>
                <w:sz w:val="18"/>
                <w:szCs w:val="18"/>
                <w:lang w:val="en-GB"/>
              </w:rPr>
              <w:t xml:space="preserve"> In practice, this is implemented though </w:t>
            </w:r>
            <w:r w:rsidR="008206DC">
              <w:rPr>
                <w:rFonts w:ascii="Century Gothic" w:hAnsi="Century Gothic"/>
                <w:bCs/>
                <w:sz w:val="18"/>
                <w:szCs w:val="18"/>
                <w:lang w:val="en-GB"/>
              </w:rPr>
              <w:t xml:space="preserve">an </w:t>
            </w:r>
            <w:r w:rsidR="00203384" w:rsidRPr="004A44E6">
              <w:rPr>
                <w:rFonts w:ascii="Century Gothic" w:hAnsi="Century Gothic"/>
                <w:b/>
                <w:bCs/>
                <w:sz w:val="18"/>
                <w:szCs w:val="18"/>
                <w:lang w:val="en-GB"/>
              </w:rPr>
              <w:t>official</w:t>
            </w:r>
            <w:r w:rsidR="008206DC" w:rsidRPr="004A44E6">
              <w:rPr>
                <w:rFonts w:ascii="Century Gothic" w:hAnsi="Century Gothic"/>
                <w:b/>
                <w:bCs/>
                <w:sz w:val="18"/>
                <w:szCs w:val="18"/>
                <w:lang w:val="en-GB"/>
              </w:rPr>
              <w:t xml:space="preserve"> compliance form</w:t>
            </w:r>
            <w:r w:rsidR="008206DC">
              <w:rPr>
                <w:rFonts w:ascii="Century Gothic" w:hAnsi="Century Gothic"/>
                <w:bCs/>
                <w:sz w:val="18"/>
                <w:szCs w:val="18"/>
                <w:lang w:val="en-GB"/>
              </w:rPr>
              <w:t xml:space="preserve"> </w:t>
            </w:r>
            <w:r w:rsidR="00203384">
              <w:rPr>
                <w:rFonts w:ascii="Century Gothic" w:hAnsi="Century Gothic"/>
                <w:bCs/>
                <w:sz w:val="18"/>
                <w:szCs w:val="18"/>
                <w:lang w:val="en-GB"/>
              </w:rPr>
              <w:t>whereby applicants show that they continue to satisfy the</w:t>
            </w:r>
            <w:r w:rsidR="008206DC">
              <w:rPr>
                <w:rFonts w:ascii="Century Gothic" w:hAnsi="Century Gothic"/>
                <w:bCs/>
                <w:sz w:val="18"/>
                <w:szCs w:val="18"/>
                <w:lang w:val="en-GB"/>
              </w:rPr>
              <w:t xml:space="preserve"> </w:t>
            </w:r>
            <w:r w:rsidR="00203384">
              <w:rPr>
                <w:rFonts w:ascii="Century Gothic" w:hAnsi="Century Gothic"/>
                <w:bCs/>
                <w:sz w:val="18"/>
                <w:szCs w:val="18"/>
                <w:lang w:val="en-GB"/>
              </w:rPr>
              <w:t>MRVP</w:t>
            </w:r>
            <w:r w:rsidR="008206DC">
              <w:rPr>
                <w:rFonts w:ascii="Century Gothic" w:hAnsi="Century Gothic"/>
                <w:bCs/>
                <w:sz w:val="18"/>
                <w:szCs w:val="18"/>
                <w:lang w:val="en-GB"/>
              </w:rPr>
              <w:t xml:space="preserve"> </w:t>
            </w:r>
            <w:r w:rsidR="00203384">
              <w:rPr>
                <w:rFonts w:ascii="Century Gothic" w:hAnsi="Century Gothic"/>
                <w:bCs/>
                <w:sz w:val="18"/>
                <w:szCs w:val="18"/>
                <w:lang w:val="en-GB"/>
              </w:rPr>
              <w:t>requirements</w:t>
            </w:r>
            <w:r w:rsidR="008206DC">
              <w:rPr>
                <w:rFonts w:ascii="Century Gothic" w:hAnsi="Century Gothic"/>
                <w:bCs/>
                <w:sz w:val="18"/>
                <w:szCs w:val="18"/>
                <w:lang w:val="en-GB"/>
              </w:rPr>
              <w:t>.</w:t>
            </w:r>
            <w:r w:rsidR="00203384">
              <w:rPr>
                <w:rStyle w:val="FootnoteReference"/>
                <w:rFonts w:ascii="Century Gothic" w:hAnsi="Century Gothic"/>
                <w:bCs/>
                <w:sz w:val="18"/>
                <w:szCs w:val="18"/>
                <w:lang w:val="en-GB"/>
              </w:rPr>
              <w:footnoteReference w:id="120"/>
            </w:r>
          </w:p>
          <w:p w14:paraId="09D46B83" w14:textId="77777777" w:rsidR="008206DC" w:rsidRDefault="008206DC" w:rsidP="00364DF3">
            <w:pPr>
              <w:jc w:val="both"/>
              <w:rPr>
                <w:rFonts w:ascii="Century Gothic" w:hAnsi="Century Gothic"/>
                <w:bCs/>
                <w:sz w:val="18"/>
                <w:szCs w:val="18"/>
                <w:lang w:val="en-GB"/>
              </w:rPr>
            </w:pPr>
          </w:p>
          <w:p w14:paraId="128E22D0" w14:textId="3052F19A" w:rsidR="00203384" w:rsidRDefault="0014740F" w:rsidP="00364DF3">
            <w:pPr>
              <w:jc w:val="both"/>
              <w:rPr>
                <w:rFonts w:ascii="Century Gothic" w:hAnsi="Century Gothic"/>
                <w:bCs/>
                <w:sz w:val="18"/>
                <w:szCs w:val="18"/>
                <w:lang w:val="en-GB"/>
              </w:rPr>
            </w:pPr>
            <w:r>
              <w:rPr>
                <w:rFonts w:ascii="Century Gothic" w:hAnsi="Century Gothic"/>
                <w:bCs/>
                <w:sz w:val="18"/>
                <w:szCs w:val="18"/>
                <w:lang w:val="en-GB"/>
              </w:rPr>
              <w:t xml:space="preserve">The approved </w:t>
            </w:r>
            <w:r w:rsidR="008206DC">
              <w:rPr>
                <w:rFonts w:ascii="Century Gothic" w:hAnsi="Century Gothic"/>
                <w:bCs/>
                <w:sz w:val="18"/>
                <w:szCs w:val="18"/>
                <w:lang w:val="en-GB"/>
              </w:rPr>
              <w:t>agent</w:t>
            </w:r>
            <w:r>
              <w:rPr>
                <w:rFonts w:ascii="Century Gothic" w:hAnsi="Century Gothic"/>
                <w:bCs/>
                <w:sz w:val="18"/>
                <w:szCs w:val="18"/>
                <w:lang w:val="en-GB"/>
              </w:rPr>
              <w:t xml:space="preserve"> is responsible for </w:t>
            </w:r>
            <w:r w:rsidR="008206DC">
              <w:rPr>
                <w:rFonts w:ascii="Century Gothic" w:hAnsi="Century Gothic"/>
                <w:bCs/>
                <w:sz w:val="18"/>
                <w:szCs w:val="18"/>
                <w:lang w:val="en-GB"/>
              </w:rPr>
              <w:t>presenting</w:t>
            </w:r>
            <w:r>
              <w:rPr>
                <w:rFonts w:ascii="Century Gothic" w:hAnsi="Century Gothic"/>
                <w:bCs/>
                <w:sz w:val="18"/>
                <w:szCs w:val="18"/>
                <w:lang w:val="en-GB"/>
              </w:rPr>
              <w:t xml:space="preserve"> </w:t>
            </w:r>
            <w:r w:rsidR="00203384">
              <w:rPr>
                <w:rFonts w:ascii="Century Gothic" w:hAnsi="Century Gothic"/>
                <w:bCs/>
                <w:sz w:val="18"/>
                <w:szCs w:val="18"/>
                <w:lang w:val="en-GB"/>
              </w:rPr>
              <w:t>the</w:t>
            </w:r>
            <w:r>
              <w:rPr>
                <w:rFonts w:ascii="Century Gothic" w:hAnsi="Century Gothic"/>
                <w:bCs/>
                <w:sz w:val="18"/>
                <w:szCs w:val="18"/>
                <w:lang w:val="en-GB"/>
              </w:rPr>
              <w:t xml:space="preserve"> official compliance form </w:t>
            </w:r>
            <w:r w:rsidR="00203384">
              <w:rPr>
                <w:rFonts w:ascii="Century Gothic" w:hAnsi="Century Gothic"/>
                <w:bCs/>
                <w:sz w:val="18"/>
                <w:szCs w:val="18"/>
                <w:lang w:val="en-GB"/>
              </w:rPr>
              <w:t xml:space="preserve">- </w:t>
            </w:r>
            <w:r w:rsidR="008206DC">
              <w:rPr>
                <w:rFonts w:ascii="Century Gothic" w:hAnsi="Century Gothic"/>
                <w:bCs/>
                <w:sz w:val="18"/>
                <w:szCs w:val="18"/>
                <w:lang w:val="en-GB"/>
              </w:rPr>
              <w:t>Form</w:t>
            </w:r>
            <w:r>
              <w:rPr>
                <w:rFonts w:ascii="Century Gothic" w:hAnsi="Century Gothic"/>
                <w:bCs/>
                <w:sz w:val="18"/>
                <w:szCs w:val="18"/>
                <w:lang w:val="en-GB"/>
              </w:rPr>
              <w:t xml:space="preserve"> MRVP5 </w:t>
            </w:r>
            <w:r w:rsidR="00203384">
              <w:rPr>
                <w:rFonts w:ascii="Century Gothic" w:hAnsi="Century Gothic"/>
                <w:bCs/>
                <w:sz w:val="18"/>
                <w:szCs w:val="18"/>
                <w:lang w:val="en-GB"/>
              </w:rPr>
              <w:t xml:space="preserve">- </w:t>
            </w:r>
            <w:r>
              <w:rPr>
                <w:rFonts w:ascii="Century Gothic" w:hAnsi="Century Gothic"/>
                <w:bCs/>
                <w:sz w:val="18"/>
                <w:szCs w:val="18"/>
                <w:lang w:val="en-GB"/>
              </w:rPr>
              <w:t xml:space="preserve">to the MRVA every year from the date of the issuance of the residence certificate. </w:t>
            </w:r>
            <w:r w:rsidR="00203384">
              <w:rPr>
                <w:rFonts w:ascii="Century Gothic" w:hAnsi="Century Gothic"/>
                <w:bCs/>
                <w:sz w:val="18"/>
                <w:szCs w:val="18"/>
                <w:lang w:val="en-GB"/>
              </w:rPr>
              <w:t>This F</w:t>
            </w:r>
            <w:r>
              <w:rPr>
                <w:rFonts w:ascii="Century Gothic" w:hAnsi="Century Gothic"/>
                <w:bCs/>
                <w:sz w:val="18"/>
                <w:szCs w:val="18"/>
                <w:lang w:val="en-GB"/>
              </w:rPr>
              <w:t xml:space="preserve">orm must be filled in and signed by the </w:t>
            </w:r>
            <w:r w:rsidR="008206DC">
              <w:rPr>
                <w:rFonts w:ascii="Century Gothic" w:hAnsi="Century Gothic"/>
                <w:bCs/>
                <w:sz w:val="18"/>
                <w:szCs w:val="18"/>
                <w:lang w:val="en-GB"/>
              </w:rPr>
              <w:t>beneficiary</w:t>
            </w:r>
            <w:r>
              <w:rPr>
                <w:rFonts w:ascii="Century Gothic" w:hAnsi="Century Gothic"/>
                <w:bCs/>
                <w:sz w:val="18"/>
                <w:szCs w:val="18"/>
                <w:lang w:val="en-GB"/>
              </w:rPr>
              <w:t xml:space="preserve">. The agent’s </w:t>
            </w:r>
            <w:r w:rsidR="008206DC">
              <w:rPr>
                <w:rFonts w:ascii="Century Gothic" w:hAnsi="Century Gothic"/>
                <w:bCs/>
                <w:sz w:val="18"/>
                <w:szCs w:val="18"/>
                <w:lang w:val="en-GB"/>
              </w:rPr>
              <w:t>responsibility</w:t>
            </w:r>
            <w:r>
              <w:rPr>
                <w:rFonts w:ascii="Century Gothic" w:hAnsi="Century Gothic"/>
                <w:bCs/>
                <w:sz w:val="18"/>
                <w:szCs w:val="18"/>
                <w:lang w:val="en-GB"/>
              </w:rPr>
              <w:t xml:space="preserve"> </w:t>
            </w:r>
            <w:r w:rsidR="008206DC">
              <w:rPr>
                <w:rFonts w:ascii="Century Gothic" w:hAnsi="Century Gothic"/>
                <w:bCs/>
                <w:sz w:val="18"/>
                <w:szCs w:val="18"/>
                <w:lang w:val="en-GB"/>
              </w:rPr>
              <w:t>i</w:t>
            </w:r>
            <w:r>
              <w:rPr>
                <w:rFonts w:ascii="Century Gothic" w:hAnsi="Century Gothic"/>
                <w:bCs/>
                <w:sz w:val="18"/>
                <w:szCs w:val="18"/>
                <w:lang w:val="en-GB"/>
              </w:rPr>
              <w:t xml:space="preserve">s to ensure that the </w:t>
            </w:r>
            <w:r w:rsidR="008206DC">
              <w:rPr>
                <w:rFonts w:ascii="Century Gothic" w:hAnsi="Century Gothic"/>
                <w:bCs/>
                <w:sz w:val="18"/>
                <w:szCs w:val="18"/>
                <w:lang w:val="en-GB"/>
              </w:rPr>
              <w:t>Form</w:t>
            </w:r>
            <w:r>
              <w:rPr>
                <w:rFonts w:ascii="Century Gothic" w:hAnsi="Century Gothic"/>
                <w:bCs/>
                <w:sz w:val="18"/>
                <w:szCs w:val="18"/>
                <w:lang w:val="en-GB"/>
              </w:rPr>
              <w:t xml:space="preserve"> is provided to the MRVA on time and together with all the supporting documentation. </w:t>
            </w:r>
            <w:r w:rsidR="00203384">
              <w:rPr>
                <w:rStyle w:val="FootnoteReference"/>
                <w:rFonts w:ascii="Century Gothic" w:hAnsi="Century Gothic"/>
                <w:bCs/>
                <w:sz w:val="18"/>
                <w:szCs w:val="18"/>
                <w:lang w:val="en-GB"/>
              </w:rPr>
              <w:footnoteReference w:id="121"/>
            </w:r>
          </w:p>
          <w:p w14:paraId="006EBCD8" w14:textId="77777777" w:rsidR="00203384" w:rsidRDefault="00203384" w:rsidP="00364DF3">
            <w:pPr>
              <w:jc w:val="both"/>
              <w:rPr>
                <w:rFonts w:ascii="Century Gothic" w:hAnsi="Century Gothic"/>
                <w:bCs/>
                <w:sz w:val="18"/>
                <w:szCs w:val="18"/>
                <w:lang w:val="en-GB"/>
              </w:rPr>
            </w:pPr>
          </w:p>
          <w:p w14:paraId="60936783" w14:textId="3E9BC79A" w:rsidR="004E1430" w:rsidRPr="00CE0FFD" w:rsidRDefault="0014740F" w:rsidP="00364DF3">
            <w:pPr>
              <w:jc w:val="both"/>
              <w:rPr>
                <w:rFonts w:ascii="Century Gothic" w:hAnsi="Century Gothic"/>
                <w:bCs/>
                <w:sz w:val="18"/>
                <w:szCs w:val="18"/>
                <w:lang w:val="en-GB"/>
              </w:rPr>
            </w:pPr>
            <w:r>
              <w:rPr>
                <w:rFonts w:ascii="Century Gothic" w:hAnsi="Century Gothic"/>
                <w:bCs/>
                <w:sz w:val="18"/>
                <w:szCs w:val="18"/>
                <w:lang w:val="en-GB"/>
              </w:rPr>
              <w:t>It is submitted to the MRVA on an annual ba</w:t>
            </w:r>
            <w:r w:rsidR="008206DC">
              <w:rPr>
                <w:rFonts w:ascii="Century Gothic" w:hAnsi="Century Gothic"/>
                <w:bCs/>
                <w:sz w:val="18"/>
                <w:szCs w:val="18"/>
                <w:lang w:val="en-GB"/>
              </w:rPr>
              <w:t>s</w:t>
            </w:r>
            <w:r>
              <w:rPr>
                <w:rFonts w:ascii="Century Gothic" w:hAnsi="Century Gothic"/>
                <w:bCs/>
                <w:sz w:val="18"/>
                <w:szCs w:val="18"/>
                <w:lang w:val="en-GB"/>
              </w:rPr>
              <w:t>is for the first five years and every five years thereafter. With respect to the qualifying investment, a confirmation letter from the stockbroker and/</w:t>
            </w:r>
            <w:r w:rsidR="008206DC">
              <w:rPr>
                <w:rFonts w:ascii="Century Gothic" w:hAnsi="Century Gothic"/>
                <w:bCs/>
                <w:sz w:val="18"/>
                <w:szCs w:val="18"/>
                <w:lang w:val="en-GB"/>
              </w:rPr>
              <w:t>o</w:t>
            </w:r>
            <w:r>
              <w:rPr>
                <w:rFonts w:ascii="Century Gothic" w:hAnsi="Century Gothic"/>
                <w:bCs/>
                <w:sz w:val="18"/>
                <w:szCs w:val="18"/>
                <w:lang w:val="en-GB"/>
              </w:rPr>
              <w:t xml:space="preserve">r the Malta Stock Exchange certificate must be submitted as evidence that the main applicant has retained the investment for five years. As regards the qualifying property, the agent must submit the evidence that the lease </w:t>
            </w:r>
            <w:r w:rsidR="008206DC">
              <w:rPr>
                <w:rFonts w:ascii="Century Gothic" w:hAnsi="Century Gothic"/>
                <w:bCs/>
                <w:sz w:val="18"/>
                <w:szCs w:val="18"/>
                <w:lang w:val="en-GB"/>
              </w:rPr>
              <w:t>agreement</w:t>
            </w:r>
            <w:r>
              <w:rPr>
                <w:rFonts w:ascii="Century Gothic" w:hAnsi="Century Gothic"/>
                <w:bCs/>
                <w:sz w:val="18"/>
                <w:szCs w:val="18"/>
                <w:lang w:val="en-GB"/>
              </w:rPr>
              <w:t xml:space="preserve"> has been renewed together with proof of payment of rent signed by the landlord. In the case of purchase, the applicant must declare that </w:t>
            </w:r>
            <w:r w:rsidR="00203384">
              <w:rPr>
                <w:rFonts w:ascii="Century Gothic" w:hAnsi="Century Gothic"/>
                <w:bCs/>
                <w:sz w:val="18"/>
                <w:szCs w:val="18"/>
                <w:lang w:val="en-GB"/>
              </w:rPr>
              <w:t>s/</w:t>
            </w:r>
            <w:r>
              <w:rPr>
                <w:rFonts w:ascii="Century Gothic" w:hAnsi="Century Gothic"/>
                <w:bCs/>
                <w:sz w:val="18"/>
                <w:szCs w:val="18"/>
                <w:lang w:val="en-GB"/>
              </w:rPr>
              <w:t xml:space="preserve">he still </w:t>
            </w:r>
            <w:r w:rsidR="008206DC">
              <w:rPr>
                <w:rFonts w:ascii="Century Gothic" w:hAnsi="Century Gothic"/>
                <w:bCs/>
                <w:sz w:val="18"/>
                <w:szCs w:val="18"/>
                <w:lang w:val="en-GB"/>
              </w:rPr>
              <w:t>holds</w:t>
            </w:r>
            <w:r>
              <w:rPr>
                <w:rFonts w:ascii="Century Gothic" w:hAnsi="Century Gothic"/>
                <w:bCs/>
                <w:sz w:val="18"/>
                <w:szCs w:val="18"/>
                <w:lang w:val="en-GB"/>
              </w:rPr>
              <w:t xml:space="preserve"> the property. The MRVA </w:t>
            </w:r>
            <w:r w:rsidR="008206DC">
              <w:rPr>
                <w:rFonts w:ascii="Century Gothic" w:hAnsi="Century Gothic"/>
                <w:bCs/>
                <w:sz w:val="18"/>
                <w:szCs w:val="18"/>
                <w:lang w:val="en-GB"/>
              </w:rPr>
              <w:t>reserves</w:t>
            </w:r>
            <w:r>
              <w:rPr>
                <w:rFonts w:ascii="Century Gothic" w:hAnsi="Century Gothic"/>
                <w:bCs/>
                <w:sz w:val="18"/>
                <w:szCs w:val="18"/>
                <w:lang w:val="en-GB"/>
              </w:rPr>
              <w:t xml:space="preserve"> the right to run checks on site to verify the information.</w:t>
            </w:r>
            <w:r w:rsidR="00FC44CA">
              <w:rPr>
                <w:rStyle w:val="FootnoteReference"/>
                <w:rFonts w:ascii="Century Gothic" w:hAnsi="Century Gothic"/>
                <w:bCs/>
                <w:sz w:val="18"/>
                <w:szCs w:val="18"/>
                <w:lang w:val="en-GB"/>
              </w:rPr>
              <w:footnoteReference w:id="122"/>
            </w:r>
          </w:p>
        </w:tc>
        <w:tc>
          <w:tcPr>
            <w:tcW w:w="661" w:type="pct"/>
            <w:shd w:val="clear" w:color="auto" w:fill="F2F2F2" w:themeFill="background1" w:themeFillShade="F2"/>
          </w:tcPr>
          <w:p w14:paraId="4A8DBDA1" w14:textId="306E7C46" w:rsidR="00B311A7" w:rsidRPr="00364DF3" w:rsidRDefault="00DD7907" w:rsidP="00CE0FFD">
            <w:pPr>
              <w:jc w:val="both"/>
              <w:rPr>
                <w:rFonts w:ascii="Century Gothic" w:hAnsi="Century Gothic"/>
                <w:bCs/>
                <w:sz w:val="18"/>
                <w:szCs w:val="18"/>
                <w:lang w:val="en-GB"/>
              </w:rPr>
            </w:pPr>
            <w:r>
              <w:rPr>
                <w:rFonts w:ascii="Century Gothic" w:hAnsi="Century Gothic"/>
                <w:bCs/>
                <w:sz w:val="18"/>
                <w:szCs w:val="18"/>
                <w:lang w:val="en-GB"/>
              </w:rPr>
              <w:lastRenderedPageBreak/>
              <w:t>The competent authorities and non-public bodies in</w:t>
            </w:r>
            <w:r w:rsidR="00623F1D">
              <w:rPr>
                <w:rFonts w:ascii="Century Gothic" w:hAnsi="Century Gothic"/>
                <w:bCs/>
                <w:sz w:val="18"/>
                <w:szCs w:val="18"/>
                <w:lang w:val="en-GB"/>
              </w:rPr>
              <w:t>volved are</w:t>
            </w:r>
            <w:r w:rsidR="00867C23">
              <w:rPr>
                <w:rFonts w:ascii="Century Gothic" w:hAnsi="Century Gothic"/>
                <w:bCs/>
                <w:sz w:val="18"/>
                <w:szCs w:val="18"/>
                <w:lang w:val="en-GB"/>
              </w:rPr>
              <w:t xml:space="preserve"> </w:t>
            </w:r>
            <w:r w:rsidR="00623F1D">
              <w:rPr>
                <w:rFonts w:ascii="Century Gothic" w:hAnsi="Century Gothic"/>
                <w:bCs/>
                <w:sz w:val="18"/>
                <w:szCs w:val="18"/>
                <w:lang w:val="en-GB"/>
              </w:rPr>
              <w:t xml:space="preserve">described in </w:t>
            </w:r>
            <w:r w:rsidR="00CE0FFD">
              <w:rPr>
                <w:rFonts w:ascii="Century Gothic" w:hAnsi="Century Gothic"/>
                <w:bCs/>
                <w:sz w:val="18"/>
                <w:szCs w:val="18"/>
                <w:lang w:val="en-GB"/>
              </w:rPr>
              <w:t>points 1.1, 1.2 and 1.3 of Section II</w:t>
            </w:r>
            <w:r>
              <w:rPr>
                <w:rFonts w:ascii="Century Gothic" w:hAnsi="Century Gothic"/>
                <w:bCs/>
                <w:sz w:val="18"/>
                <w:szCs w:val="18"/>
                <w:lang w:val="en-GB"/>
              </w:rPr>
              <w:t xml:space="preserve"> above.</w:t>
            </w:r>
            <w:r w:rsidR="00623F1D">
              <w:rPr>
                <w:rFonts w:ascii="Century Gothic" w:hAnsi="Century Gothic"/>
                <w:bCs/>
                <w:sz w:val="18"/>
                <w:szCs w:val="18"/>
                <w:lang w:val="en-GB"/>
              </w:rPr>
              <w:t xml:space="preserve"> A registered approved agent and/or registered accredited </w:t>
            </w:r>
            <w:r w:rsidR="00853583">
              <w:rPr>
                <w:rFonts w:ascii="Century Gothic" w:hAnsi="Century Gothic"/>
                <w:bCs/>
                <w:sz w:val="18"/>
                <w:szCs w:val="18"/>
                <w:lang w:val="en-GB"/>
              </w:rPr>
              <w:t>person must</w:t>
            </w:r>
            <w:r w:rsidR="00867C23">
              <w:rPr>
                <w:rFonts w:ascii="Century Gothic" w:hAnsi="Century Gothic"/>
                <w:bCs/>
                <w:sz w:val="18"/>
                <w:szCs w:val="18"/>
                <w:lang w:val="en-GB"/>
              </w:rPr>
              <w:t xml:space="preserve"> </w:t>
            </w:r>
            <w:r w:rsidR="00623F1D">
              <w:rPr>
                <w:rFonts w:ascii="Century Gothic" w:hAnsi="Century Gothic"/>
                <w:bCs/>
                <w:sz w:val="18"/>
                <w:szCs w:val="18"/>
                <w:lang w:val="en-GB"/>
              </w:rPr>
              <w:t>represent the main applicant. The MRVA must check that all requirements are satisfied and determine whether or not a certificate can be issued.</w:t>
            </w:r>
          </w:p>
        </w:tc>
      </w:tr>
      <w:tr w:rsidR="00780E1F" w:rsidRPr="00780E1F" w14:paraId="4B7EAE38" w14:textId="77777777" w:rsidTr="00C83D3F">
        <w:tc>
          <w:tcPr>
            <w:tcW w:w="5000" w:type="pct"/>
            <w:gridSpan w:val="4"/>
            <w:shd w:val="clear" w:color="auto" w:fill="B6DDE8" w:themeFill="accent5" w:themeFillTint="66"/>
          </w:tcPr>
          <w:p w14:paraId="5439E122" w14:textId="1CC99AF8" w:rsidR="00C4365A" w:rsidRPr="00780E1F" w:rsidRDefault="00780E1F" w:rsidP="00C83D3F">
            <w:pPr>
              <w:keepNext/>
              <w:jc w:val="both"/>
              <w:rPr>
                <w:rFonts w:ascii="Century Gothic" w:hAnsi="Century Gothic"/>
                <w:b/>
                <w:bCs/>
                <w:sz w:val="18"/>
                <w:szCs w:val="18"/>
                <w:lang w:val="en-GB"/>
              </w:rPr>
            </w:pPr>
            <w:r>
              <w:rPr>
                <w:rFonts w:ascii="Century Gothic" w:hAnsi="Century Gothic"/>
                <w:b/>
                <w:bCs/>
                <w:sz w:val="18"/>
                <w:szCs w:val="18"/>
                <w:lang w:val="en-GB"/>
              </w:rPr>
              <w:lastRenderedPageBreak/>
              <w:t>GRP</w:t>
            </w:r>
          </w:p>
        </w:tc>
      </w:tr>
      <w:tr w:rsidR="000D1C0D" w:rsidRPr="006B5ED7" w14:paraId="299D5623" w14:textId="77777777" w:rsidTr="00C83D3F">
        <w:trPr>
          <w:trHeight w:val="2532"/>
        </w:trPr>
        <w:tc>
          <w:tcPr>
            <w:tcW w:w="1522" w:type="pct"/>
            <w:shd w:val="clear" w:color="auto" w:fill="F2F2F2" w:themeFill="background1" w:themeFillShade="F2"/>
          </w:tcPr>
          <w:p w14:paraId="6F12A249" w14:textId="77777777" w:rsidR="000D1C0D" w:rsidRPr="00364DF3" w:rsidRDefault="000D1C0D" w:rsidP="000D1C0D">
            <w:pPr>
              <w:jc w:val="both"/>
              <w:rPr>
                <w:rFonts w:ascii="Century Gothic" w:hAnsi="Century Gothic"/>
                <w:bCs/>
                <w:sz w:val="18"/>
                <w:szCs w:val="18"/>
                <w:lang w:val="en-GB"/>
              </w:rPr>
            </w:pPr>
            <w:r w:rsidRPr="00364DF3">
              <w:rPr>
                <w:rFonts w:ascii="Century Gothic" w:hAnsi="Century Gothic"/>
                <w:b/>
                <w:bCs/>
                <w:sz w:val="18"/>
                <w:szCs w:val="18"/>
                <w:lang w:val="en-GB"/>
              </w:rPr>
              <w:t>Purchase or lease of qualifying property</w:t>
            </w:r>
            <w:r>
              <w:rPr>
                <w:rFonts w:ascii="Century Gothic" w:hAnsi="Century Gothic"/>
                <w:b/>
                <w:bCs/>
                <w:sz w:val="18"/>
                <w:szCs w:val="18"/>
                <w:lang w:val="en-GB"/>
              </w:rPr>
              <w:t xml:space="preserve"> (either a qualifying owned property or a qualifying rented property)</w:t>
            </w:r>
            <w:r w:rsidRPr="00364DF3">
              <w:rPr>
                <w:rFonts w:ascii="Century Gothic" w:hAnsi="Century Gothic"/>
                <w:bCs/>
                <w:sz w:val="18"/>
                <w:szCs w:val="18"/>
                <w:lang w:val="en-GB"/>
              </w:rPr>
              <w:t>:</w:t>
            </w:r>
          </w:p>
          <w:p w14:paraId="38E8CF38" w14:textId="77777777" w:rsidR="000D1C0D" w:rsidRPr="00D34BF8" w:rsidRDefault="000D1C0D" w:rsidP="000D1C0D">
            <w:pPr>
              <w:jc w:val="both"/>
              <w:rPr>
                <w:rFonts w:ascii="Century Gothic" w:hAnsi="Century Gothic"/>
                <w:bCs/>
                <w:sz w:val="18"/>
                <w:szCs w:val="18"/>
                <w:lang w:val="en-GB"/>
              </w:rPr>
            </w:pPr>
            <w:r w:rsidRPr="00364DF3">
              <w:rPr>
                <w:rFonts w:ascii="Century Gothic" w:hAnsi="Century Gothic"/>
                <w:bCs/>
                <w:sz w:val="18"/>
                <w:szCs w:val="18"/>
                <w:lang w:val="en-GB"/>
              </w:rPr>
              <w:t xml:space="preserve">- Qualifying owned property is an immovable property situated in Malta purchased for not less than EUR </w:t>
            </w:r>
            <w:r>
              <w:rPr>
                <w:rFonts w:ascii="Century Gothic" w:hAnsi="Century Gothic"/>
                <w:bCs/>
                <w:sz w:val="18"/>
                <w:szCs w:val="18"/>
                <w:lang w:val="en-GB"/>
              </w:rPr>
              <w:t>275,000</w:t>
            </w:r>
            <w:r w:rsidRPr="00364DF3">
              <w:rPr>
                <w:rFonts w:ascii="Century Gothic" w:hAnsi="Century Gothic"/>
                <w:bCs/>
                <w:sz w:val="18"/>
                <w:szCs w:val="18"/>
                <w:lang w:val="en-GB"/>
              </w:rPr>
              <w:t xml:space="preserve"> </w:t>
            </w:r>
            <w:r w:rsidRPr="00364DF3">
              <w:rPr>
                <w:rFonts w:ascii="Century Gothic" w:hAnsi="Century Gothic"/>
                <w:b/>
                <w:bCs/>
                <w:sz w:val="18"/>
                <w:szCs w:val="18"/>
                <w:lang w:val="en-GB"/>
              </w:rPr>
              <w:t xml:space="preserve">or </w:t>
            </w:r>
            <w:r w:rsidRPr="00364DF3">
              <w:rPr>
                <w:rFonts w:ascii="Century Gothic" w:hAnsi="Century Gothic"/>
                <w:bCs/>
                <w:sz w:val="18"/>
                <w:szCs w:val="18"/>
                <w:lang w:val="en-GB"/>
              </w:rPr>
              <w:t>an immovable property situated in the south of Malta</w:t>
            </w:r>
            <w:r>
              <w:rPr>
                <w:rStyle w:val="FootnoteReference"/>
                <w:rFonts w:ascii="Century Gothic" w:hAnsi="Century Gothic"/>
                <w:bCs/>
                <w:sz w:val="18"/>
                <w:szCs w:val="18"/>
                <w:lang w:val="en-GB"/>
              </w:rPr>
              <w:footnoteReference w:id="123"/>
            </w:r>
            <w:r w:rsidRPr="00364DF3">
              <w:rPr>
                <w:rFonts w:ascii="Century Gothic" w:hAnsi="Century Gothic"/>
                <w:bCs/>
                <w:sz w:val="18"/>
                <w:szCs w:val="18"/>
                <w:lang w:val="en-GB"/>
              </w:rPr>
              <w:t xml:space="preserve"> or in </w:t>
            </w:r>
            <w:proofErr w:type="spellStart"/>
            <w:r w:rsidRPr="00364DF3">
              <w:rPr>
                <w:rFonts w:ascii="Century Gothic" w:hAnsi="Century Gothic"/>
                <w:bCs/>
                <w:sz w:val="18"/>
                <w:szCs w:val="18"/>
                <w:lang w:val="en-GB"/>
              </w:rPr>
              <w:t>Gozo</w:t>
            </w:r>
            <w:proofErr w:type="spellEnd"/>
            <w:r w:rsidRPr="00364DF3">
              <w:rPr>
                <w:rFonts w:ascii="Century Gothic" w:hAnsi="Century Gothic"/>
                <w:bCs/>
                <w:sz w:val="18"/>
                <w:szCs w:val="18"/>
                <w:lang w:val="en-GB"/>
              </w:rPr>
              <w:t xml:space="preserve"> for not less than EUR 2</w:t>
            </w:r>
            <w:r>
              <w:rPr>
                <w:rFonts w:ascii="Century Gothic" w:hAnsi="Century Gothic"/>
                <w:bCs/>
                <w:sz w:val="18"/>
                <w:szCs w:val="18"/>
                <w:lang w:val="en-GB"/>
              </w:rPr>
              <w:t>20</w:t>
            </w:r>
            <w:r w:rsidRPr="00364DF3">
              <w:rPr>
                <w:rFonts w:ascii="Century Gothic" w:hAnsi="Century Gothic"/>
                <w:bCs/>
                <w:sz w:val="18"/>
                <w:szCs w:val="18"/>
                <w:lang w:val="en-GB"/>
              </w:rPr>
              <w:t xml:space="preserve">,000.  Immovable property purchased before the entry into force of LN </w:t>
            </w:r>
            <w:r>
              <w:rPr>
                <w:rFonts w:ascii="Century Gothic" w:hAnsi="Century Gothic"/>
                <w:bCs/>
                <w:sz w:val="18"/>
                <w:szCs w:val="18"/>
                <w:lang w:val="en-GB"/>
              </w:rPr>
              <w:t>167/2013</w:t>
            </w:r>
            <w:r w:rsidRPr="00364DF3">
              <w:rPr>
                <w:rFonts w:ascii="Century Gothic" w:hAnsi="Century Gothic"/>
                <w:bCs/>
                <w:sz w:val="18"/>
                <w:szCs w:val="18"/>
                <w:lang w:val="en-GB"/>
              </w:rPr>
              <w:t xml:space="preserve"> (</w:t>
            </w:r>
            <w:r>
              <w:rPr>
                <w:rFonts w:ascii="Century Gothic" w:hAnsi="Century Gothic"/>
                <w:bCs/>
                <w:sz w:val="18"/>
                <w:szCs w:val="18"/>
                <w:lang w:val="en-GB"/>
              </w:rPr>
              <w:t>1 July 2013</w:t>
            </w:r>
            <w:r w:rsidRPr="00364DF3">
              <w:rPr>
                <w:rFonts w:ascii="Century Gothic" w:hAnsi="Century Gothic"/>
                <w:bCs/>
                <w:sz w:val="18"/>
                <w:szCs w:val="18"/>
                <w:lang w:val="en-GB"/>
              </w:rPr>
              <w:t xml:space="preserve">) for lower amounts is considered to be a ‘qualifying owned property’ if its value, as declared on the date of application by the applicant is not less than these amounts as supported by a separate and independent architect valuation including architect’s plan delivered to the </w:t>
            </w:r>
            <w:r>
              <w:rPr>
                <w:rFonts w:ascii="Century Gothic" w:hAnsi="Century Gothic"/>
                <w:bCs/>
                <w:sz w:val="18"/>
                <w:szCs w:val="18"/>
                <w:lang w:val="en-GB"/>
              </w:rPr>
              <w:t>Commissioner for Revenue</w:t>
            </w:r>
            <w:r w:rsidRPr="00364DF3">
              <w:rPr>
                <w:rFonts w:ascii="Century Gothic" w:hAnsi="Century Gothic"/>
                <w:bCs/>
                <w:sz w:val="18"/>
                <w:szCs w:val="18"/>
                <w:lang w:val="en-GB"/>
              </w:rPr>
              <w:t xml:space="preserve"> upon application. The </w:t>
            </w:r>
            <w:r>
              <w:rPr>
                <w:rFonts w:ascii="Century Gothic" w:hAnsi="Century Gothic"/>
                <w:bCs/>
                <w:sz w:val="18"/>
                <w:szCs w:val="18"/>
                <w:lang w:val="en-GB"/>
              </w:rPr>
              <w:t>Commissioner for Revenue</w:t>
            </w:r>
            <w:r w:rsidRPr="00364DF3">
              <w:rPr>
                <w:rFonts w:ascii="Century Gothic" w:hAnsi="Century Gothic"/>
                <w:bCs/>
                <w:sz w:val="18"/>
                <w:szCs w:val="18"/>
                <w:lang w:val="en-GB"/>
              </w:rPr>
              <w:t>,</w:t>
            </w:r>
            <w:r>
              <w:rPr>
                <w:rFonts w:ascii="Century Gothic" w:hAnsi="Century Gothic"/>
                <w:bCs/>
                <w:sz w:val="18"/>
                <w:szCs w:val="18"/>
                <w:lang w:val="en-GB"/>
              </w:rPr>
              <w:t xml:space="preserve"> any officer authorised by him in writing,</w:t>
            </w:r>
            <w:r w:rsidRPr="00364DF3">
              <w:rPr>
                <w:rFonts w:ascii="Century Gothic" w:hAnsi="Century Gothic"/>
                <w:bCs/>
                <w:sz w:val="18"/>
                <w:szCs w:val="18"/>
                <w:lang w:val="en-GB"/>
              </w:rPr>
              <w:t xml:space="preserve"> architect or surveyor </w:t>
            </w:r>
            <w:r>
              <w:rPr>
                <w:rFonts w:ascii="Century Gothic" w:hAnsi="Century Gothic"/>
                <w:bCs/>
                <w:sz w:val="18"/>
                <w:szCs w:val="18"/>
                <w:lang w:val="en-GB"/>
              </w:rPr>
              <w:t xml:space="preserve">will </w:t>
            </w:r>
            <w:r w:rsidRPr="00364DF3">
              <w:rPr>
                <w:rFonts w:ascii="Century Gothic" w:hAnsi="Century Gothic"/>
                <w:bCs/>
                <w:sz w:val="18"/>
                <w:szCs w:val="18"/>
                <w:lang w:val="en-GB"/>
              </w:rPr>
              <w:t>have full and free access to the property to the extent that this access is likely to assist him in dete</w:t>
            </w:r>
            <w:r>
              <w:rPr>
                <w:rFonts w:ascii="Century Gothic" w:hAnsi="Century Gothic"/>
                <w:bCs/>
                <w:sz w:val="18"/>
                <w:szCs w:val="18"/>
                <w:lang w:val="en-GB"/>
              </w:rPr>
              <w:t xml:space="preserve">rmining </w:t>
            </w:r>
            <w:r w:rsidRPr="00364DF3">
              <w:rPr>
                <w:rFonts w:ascii="Century Gothic" w:hAnsi="Century Gothic"/>
                <w:bCs/>
                <w:sz w:val="18"/>
                <w:szCs w:val="18"/>
                <w:lang w:val="en-GB"/>
              </w:rPr>
              <w:t>the property’</w:t>
            </w:r>
            <w:r>
              <w:rPr>
                <w:rFonts w:ascii="Century Gothic" w:hAnsi="Century Gothic"/>
                <w:bCs/>
                <w:sz w:val="18"/>
                <w:szCs w:val="18"/>
                <w:lang w:val="en-GB"/>
              </w:rPr>
              <w:t xml:space="preserve">s value </w:t>
            </w:r>
            <w:r w:rsidRPr="00364DF3">
              <w:rPr>
                <w:rFonts w:ascii="Century Gothic" w:hAnsi="Century Gothic"/>
                <w:bCs/>
                <w:sz w:val="18"/>
                <w:szCs w:val="18"/>
                <w:lang w:val="en-GB"/>
              </w:rPr>
              <w:t>(R</w:t>
            </w:r>
            <w:r>
              <w:rPr>
                <w:rFonts w:ascii="Century Gothic" w:hAnsi="Century Gothic"/>
                <w:bCs/>
                <w:sz w:val="18"/>
                <w:szCs w:val="18"/>
                <w:lang w:val="en-GB"/>
              </w:rPr>
              <w:t>ule</w:t>
            </w:r>
            <w:r w:rsidRPr="00364DF3">
              <w:rPr>
                <w:rFonts w:ascii="Century Gothic" w:hAnsi="Century Gothic"/>
                <w:bCs/>
                <w:sz w:val="18"/>
                <w:szCs w:val="18"/>
                <w:lang w:val="en-GB"/>
              </w:rPr>
              <w:t xml:space="preserve"> 2 of </w:t>
            </w:r>
            <w:r w:rsidRPr="00D34BF8">
              <w:rPr>
                <w:rFonts w:ascii="Century Gothic" w:hAnsi="Century Gothic"/>
                <w:bCs/>
                <w:sz w:val="18"/>
                <w:szCs w:val="18"/>
                <w:lang w:val="en-GB"/>
              </w:rPr>
              <w:t xml:space="preserve">LN </w:t>
            </w:r>
            <w:r>
              <w:rPr>
                <w:rFonts w:ascii="Century Gothic" w:hAnsi="Century Gothic"/>
                <w:bCs/>
                <w:sz w:val="18"/>
                <w:szCs w:val="18"/>
                <w:lang w:val="en-GB"/>
              </w:rPr>
              <w:t>167/2013</w:t>
            </w:r>
            <w:r w:rsidRPr="00D34BF8">
              <w:rPr>
                <w:rFonts w:ascii="Century Gothic" w:hAnsi="Century Gothic"/>
                <w:bCs/>
                <w:sz w:val="18"/>
                <w:szCs w:val="18"/>
                <w:lang w:val="en-GB"/>
              </w:rPr>
              <w:t>).</w:t>
            </w:r>
          </w:p>
          <w:p w14:paraId="56626531" w14:textId="20065C0A" w:rsidR="000D1C0D" w:rsidRDefault="000D1C0D" w:rsidP="000D1C0D">
            <w:pPr>
              <w:jc w:val="both"/>
              <w:rPr>
                <w:rFonts w:ascii="Century Gothic" w:hAnsi="Century Gothic"/>
                <w:bCs/>
                <w:sz w:val="18"/>
                <w:szCs w:val="18"/>
                <w:lang w:val="en-GB"/>
              </w:rPr>
            </w:pPr>
            <w:r w:rsidRPr="00D34BF8">
              <w:rPr>
                <w:rFonts w:ascii="Century Gothic" w:hAnsi="Century Gothic"/>
                <w:bCs/>
                <w:sz w:val="18"/>
                <w:szCs w:val="18"/>
                <w:lang w:val="en-GB"/>
              </w:rPr>
              <w:t>-</w:t>
            </w:r>
            <w:r>
              <w:rPr>
                <w:rFonts w:ascii="Century Gothic" w:hAnsi="Century Gothic"/>
                <w:bCs/>
                <w:sz w:val="18"/>
                <w:szCs w:val="18"/>
                <w:lang w:val="en-GB"/>
              </w:rPr>
              <w:t xml:space="preserve"> </w:t>
            </w:r>
            <w:r w:rsidRPr="00D34BF8">
              <w:rPr>
                <w:rFonts w:ascii="Century Gothic" w:hAnsi="Century Gothic"/>
                <w:bCs/>
                <w:sz w:val="18"/>
                <w:szCs w:val="18"/>
                <w:lang w:val="en-GB"/>
              </w:rPr>
              <w:t xml:space="preserve">Qualifying rented property is property taken on lease for a rent of not less than EUR </w:t>
            </w:r>
            <w:r>
              <w:rPr>
                <w:rFonts w:ascii="Century Gothic" w:hAnsi="Century Gothic"/>
                <w:bCs/>
                <w:sz w:val="18"/>
                <w:szCs w:val="18"/>
                <w:lang w:val="en-GB"/>
              </w:rPr>
              <w:t>9</w:t>
            </w:r>
            <w:r w:rsidRPr="00D34BF8">
              <w:rPr>
                <w:rFonts w:ascii="Century Gothic" w:hAnsi="Century Gothic"/>
                <w:bCs/>
                <w:sz w:val="18"/>
                <w:szCs w:val="18"/>
                <w:lang w:val="en-GB"/>
              </w:rPr>
              <w:t>,</w:t>
            </w:r>
            <w:r>
              <w:rPr>
                <w:rFonts w:ascii="Century Gothic" w:hAnsi="Century Gothic"/>
                <w:bCs/>
                <w:sz w:val="18"/>
                <w:szCs w:val="18"/>
                <w:lang w:val="en-GB"/>
              </w:rPr>
              <w:t>6</w:t>
            </w:r>
            <w:r w:rsidRPr="00D34BF8">
              <w:rPr>
                <w:rFonts w:ascii="Century Gothic" w:hAnsi="Century Gothic"/>
                <w:bCs/>
                <w:sz w:val="18"/>
                <w:szCs w:val="18"/>
                <w:lang w:val="en-GB"/>
              </w:rPr>
              <w:t xml:space="preserve">00 per annum for a property situated in Malta </w:t>
            </w:r>
            <w:r w:rsidRPr="00D34BF8">
              <w:rPr>
                <w:rFonts w:ascii="Century Gothic" w:hAnsi="Century Gothic"/>
                <w:b/>
                <w:bCs/>
                <w:sz w:val="18"/>
                <w:szCs w:val="18"/>
                <w:lang w:val="en-GB"/>
              </w:rPr>
              <w:t>or</w:t>
            </w:r>
            <w:r w:rsidRPr="00D34BF8">
              <w:rPr>
                <w:rFonts w:ascii="Century Gothic" w:hAnsi="Century Gothic"/>
                <w:bCs/>
                <w:sz w:val="18"/>
                <w:szCs w:val="18"/>
                <w:lang w:val="en-GB"/>
              </w:rPr>
              <w:t xml:space="preserve"> not less than EUR </w:t>
            </w:r>
            <w:r>
              <w:rPr>
                <w:rFonts w:ascii="Century Gothic" w:hAnsi="Century Gothic"/>
                <w:bCs/>
                <w:sz w:val="18"/>
                <w:szCs w:val="18"/>
                <w:lang w:val="en-GB"/>
              </w:rPr>
              <w:t>8,750</w:t>
            </w:r>
            <w:r w:rsidRPr="00D34BF8">
              <w:rPr>
                <w:rFonts w:ascii="Century Gothic" w:hAnsi="Century Gothic"/>
                <w:bCs/>
                <w:sz w:val="18"/>
                <w:szCs w:val="18"/>
                <w:lang w:val="en-GB"/>
              </w:rPr>
              <w:t xml:space="preserve"> </w:t>
            </w:r>
            <w:r>
              <w:rPr>
                <w:rFonts w:ascii="Century Gothic" w:hAnsi="Century Gothic"/>
                <w:bCs/>
                <w:sz w:val="18"/>
                <w:szCs w:val="18"/>
                <w:lang w:val="en-GB"/>
              </w:rPr>
              <w:t xml:space="preserve">per annum </w:t>
            </w:r>
            <w:r w:rsidRPr="00D34BF8">
              <w:rPr>
                <w:rFonts w:ascii="Century Gothic" w:hAnsi="Century Gothic"/>
                <w:bCs/>
                <w:sz w:val="18"/>
                <w:szCs w:val="18"/>
                <w:lang w:val="en-GB"/>
              </w:rPr>
              <w:t>for a property situated in the south of Malta</w:t>
            </w:r>
            <w:r w:rsidRPr="008D50F9">
              <w:rPr>
                <w:rFonts w:ascii="Century Gothic" w:hAnsi="Century Gothic"/>
                <w:bCs/>
                <w:sz w:val="18"/>
                <w:szCs w:val="18"/>
                <w:lang w:val="en-GB"/>
              </w:rPr>
              <w:t xml:space="preserve"> or in </w:t>
            </w:r>
            <w:proofErr w:type="spellStart"/>
            <w:r w:rsidRPr="008D50F9">
              <w:rPr>
                <w:rFonts w:ascii="Century Gothic" w:hAnsi="Century Gothic"/>
                <w:bCs/>
                <w:sz w:val="18"/>
                <w:szCs w:val="18"/>
                <w:lang w:val="en-GB"/>
              </w:rPr>
              <w:t>Gozo</w:t>
            </w:r>
            <w:proofErr w:type="spellEnd"/>
            <w:r w:rsidRPr="008D50F9">
              <w:rPr>
                <w:rFonts w:ascii="Century Gothic" w:hAnsi="Century Gothic"/>
                <w:bCs/>
                <w:sz w:val="18"/>
                <w:szCs w:val="18"/>
                <w:lang w:val="en-GB"/>
              </w:rPr>
              <w:t xml:space="preserve"> </w:t>
            </w:r>
            <w:r w:rsidRPr="00364DF3">
              <w:rPr>
                <w:rFonts w:ascii="Century Gothic" w:hAnsi="Century Gothic"/>
                <w:bCs/>
                <w:sz w:val="18"/>
                <w:szCs w:val="18"/>
                <w:lang w:val="en-GB"/>
              </w:rPr>
              <w:t>(</w:t>
            </w:r>
            <w:r>
              <w:rPr>
                <w:rFonts w:ascii="Century Gothic" w:hAnsi="Century Gothic"/>
                <w:bCs/>
                <w:sz w:val="18"/>
                <w:szCs w:val="18"/>
                <w:lang w:val="en-GB"/>
              </w:rPr>
              <w:t>Rule 2 of LN 167/2013</w:t>
            </w:r>
            <w:r w:rsidRPr="00364DF3">
              <w:rPr>
                <w:rFonts w:ascii="Century Gothic" w:hAnsi="Century Gothic"/>
                <w:bCs/>
                <w:sz w:val="18"/>
                <w:szCs w:val="18"/>
                <w:lang w:val="en-GB"/>
              </w:rPr>
              <w:t>)</w:t>
            </w:r>
            <w:r w:rsidRPr="008D50F9">
              <w:rPr>
                <w:rFonts w:ascii="Century Gothic" w:hAnsi="Century Gothic"/>
                <w:bCs/>
                <w:sz w:val="18"/>
                <w:szCs w:val="18"/>
                <w:lang w:val="en-GB"/>
              </w:rPr>
              <w:t>.</w:t>
            </w:r>
            <w:r w:rsidR="00646057">
              <w:rPr>
                <w:rFonts w:ascii="Century Gothic" w:hAnsi="Century Gothic"/>
                <w:bCs/>
                <w:sz w:val="18"/>
                <w:szCs w:val="18"/>
                <w:lang w:val="en-GB"/>
              </w:rPr>
              <w:t xml:space="preserve"> Rule 2 of LN 167/2013 defines ‘lease’ to include sub-lease.</w:t>
            </w:r>
          </w:p>
          <w:p w14:paraId="17D0FE71" w14:textId="77777777" w:rsidR="000D1C0D" w:rsidRDefault="000D1C0D" w:rsidP="000D1C0D">
            <w:pPr>
              <w:jc w:val="both"/>
              <w:rPr>
                <w:rFonts w:ascii="Century Gothic" w:hAnsi="Century Gothic"/>
                <w:bCs/>
                <w:sz w:val="18"/>
                <w:szCs w:val="18"/>
                <w:lang w:val="en-GB"/>
              </w:rPr>
            </w:pPr>
          </w:p>
          <w:p w14:paraId="6B6AE4D0" w14:textId="77777777" w:rsidR="000D1C0D" w:rsidRPr="00D34BF8" w:rsidRDefault="000D1C0D" w:rsidP="00FA2A6A">
            <w:pPr>
              <w:jc w:val="both"/>
              <w:rPr>
                <w:rFonts w:ascii="Century Gothic" w:hAnsi="Century Gothic"/>
                <w:b/>
                <w:bCs/>
                <w:sz w:val="18"/>
                <w:szCs w:val="18"/>
                <w:lang w:val="en-GB"/>
              </w:rPr>
            </w:pPr>
          </w:p>
        </w:tc>
        <w:tc>
          <w:tcPr>
            <w:tcW w:w="1119" w:type="pct"/>
            <w:shd w:val="clear" w:color="auto" w:fill="F2F2F2" w:themeFill="background1" w:themeFillShade="F2"/>
          </w:tcPr>
          <w:p w14:paraId="1E170828" w14:textId="2DFD8B83" w:rsidR="000D1C0D" w:rsidRDefault="000D1C0D" w:rsidP="00C83D3F">
            <w:pPr>
              <w:keepNext/>
              <w:jc w:val="both"/>
              <w:rPr>
                <w:rFonts w:ascii="Century Gothic" w:hAnsi="Century Gothic"/>
                <w:bCs/>
                <w:sz w:val="18"/>
                <w:szCs w:val="18"/>
                <w:lang w:val="en-GB"/>
              </w:rPr>
            </w:pPr>
            <w:r>
              <w:rPr>
                <w:rFonts w:ascii="Century Gothic" w:hAnsi="Century Gothic"/>
                <w:bCs/>
                <w:sz w:val="18"/>
                <w:szCs w:val="18"/>
                <w:lang w:val="en-GB"/>
              </w:rPr>
              <w:t xml:space="preserve">The financial thresholds </w:t>
            </w:r>
            <w:r w:rsidR="00D12543">
              <w:rPr>
                <w:rFonts w:ascii="Century Gothic" w:hAnsi="Century Gothic"/>
                <w:bCs/>
                <w:sz w:val="18"/>
                <w:szCs w:val="18"/>
                <w:lang w:val="en-GB"/>
              </w:rPr>
              <w:t xml:space="preserve">for the qualifying property </w:t>
            </w:r>
            <w:r>
              <w:rPr>
                <w:rFonts w:ascii="Century Gothic" w:hAnsi="Century Gothic"/>
                <w:bCs/>
                <w:sz w:val="18"/>
                <w:szCs w:val="18"/>
                <w:lang w:val="en-GB"/>
              </w:rPr>
              <w:t xml:space="preserve">are set out in the first column of this table. </w:t>
            </w:r>
            <w:r w:rsidR="00C132B6">
              <w:rPr>
                <w:rFonts w:ascii="Century Gothic" w:hAnsi="Century Gothic"/>
                <w:bCs/>
                <w:sz w:val="18"/>
                <w:szCs w:val="18"/>
                <w:lang w:val="en-GB"/>
              </w:rPr>
              <w:t>The</w:t>
            </w:r>
            <w:r>
              <w:rPr>
                <w:rFonts w:ascii="Century Gothic" w:hAnsi="Century Gothic"/>
                <w:bCs/>
                <w:sz w:val="18"/>
                <w:szCs w:val="18"/>
                <w:lang w:val="en-GB"/>
              </w:rPr>
              <w:t xml:space="preserve"> thresholds for the qualifying property are lower than those under the MRVP.</w:t>
            </w:r>
          </w:p>
          <w:p w14:paraId="74A09B0E" w14:textId="21328E7B" w:rsidR="000D1C0D" w:rsidRDefault="000D1C0D" w:rsidP="00C83D3F">
            <w:pPr>
              <w:keepNext/>
              <w:jc w:val="both"/>
              <w:rPr>
                <w:rFonts w:ascii="Century Gothic" w:hAnsi="Century Gothic"/>
                <w:bCs/>
                <w:sz w:val="18"/>
                <w:szCs w:val="18"/>
                <w:lang w:val="en-GB"/>
              </w:rPr>
            </w:pPr>
          </w:p>
          <w:p w14:paraId="2B90D1DC" w14:textId="75276605" w:rsidR="000B2156" w:rsidRDefault="000B2156" w:rsidP="00C83D3F">
            <w:pPr>
              <w:keepNext/>
              <w:jc w:val="both"/>
              <w:rPr>
                <w:rFonts w:ascii="Century Gothic" w:hAnsi="Century Gothic"/>
                <w:bCs/>
                <w:sz w:val="18"/>
                <w:szCs w:val="18"/>
                <w:lang w:val="en-GB"/>
              </w:rPr>
            </w:pPr>
            <w:r>
              <w:rPr>
                <w:rFonts w:ascii="Century Gothic" w:hAnsi="Century Gothic"/>
                <w:bCs/>
                <w:sz w:val="18"/>
                <w:szCs w:val="18"/>
                <w:lang w:val="en-GB"/>
              </w:rPr>
              <w:t xml:space="preserve">The applicant must also pay a </w:t>
            </w:r>
            <w:r w:rsidRPr="00C83D3F">
              <w:rPr>
                <w:rFonts w:ascii="Century Gothic" w:hAnsi="Century Gothic"/>
                <w:b/>
                <w:bCs/>
                <w:sz w:val="18"/>
                <w:szCs w:val="18"/>
                <w:lang w:val="en-GB"/>
              </w:rPr>
              <w:t>non-refundable administrative fee</w:t>
            </w:r>
            <w:r>
              <w:rPr>
                <w:rFonts w:ascii="Century Gothic" w:hAnsi="Century Gothic"/>
                <w:bCs/>
                <w:sz w:val="18"/>
                <w:szCs w:val="18"/>
                <w:lang w:val="en-GB"/>
              </w:rPr>
              <w:t xml:space="preserve"> of EUR 6,000 (if the qualifying property is situated in Malta) or EUR 5,500 (if the qualifying property</w:t>
            </w:r>
            <w:r w:rsidR="004E1430">
              <w:rPr>
                <w:rFonts w:ascii="Century Gothic" w:hAnsi="Century Gothic"/>
                <w:bCs/>
                <w:sz w:val="18"/>
                <w:szCs w:val="18"/>
                <w:lang w:val="en-GB"/>
              </w:rPr>
              <w:t xml:space="preserve"> is a qualifying owned property </w:t>
            </w:r>
            <w:r>
              <w:rPr>
                <w:rFonts w:ascii="Century Gothic" w:hAnsi="Century Gothic"/>
                <w:bCs/>
                <w:sz w:val="18"/>
                <w:szCs w:val="18"/>
                <w:lang w:val="en-GB"/>
              </w:rPr>
              <w:t xml:space="preserve">situated in the south of Malta or </w:t>
            </w:r>
            <w:proofErr w:type="spellStart"/>
            <w:r>
              <w:rPr>
                <w:rFonts w:ascii="Century Gothic" w:hAnsi="Century Gothic"/>
                <w:bCs/>
                <w:sz w:val="18"/>
                <w:szCs w:val="18"/>
                <w:lang w:val="en-GB"/>
              </w:rPr>
              <w:t>Gozo</w:t>
            </w:r>
            <w:proofErr w:type="spellEnd"/>
            <w:r>
              <w:rPr>
                <w:rFonts w:ascii="Century Gothic" w:hAnsi="Century Gothic"/>
                <w:bCs/>
                <w:sz w:val="18"/>
                <w:szCs w:val="18"/>
                <w:lang w:val="en-GB"/>
              </w:rPr>
              <w:t xml:space="preserve">) </w:t>
            </w:r>
            <w:r w:rsidR="00D12543">
              <w:rPr>
                <w:rFonts w:ascii="Century Gothic" w:hAnsi="Century Gothic"/>
                <w:bCs/>
                <w:sz w:val="18"/>
                <w:szCs w:val="18"/>
                <w:lang w:val="en-GB"/>
              </w:rPr>
              <w:t>(</w:t>
            </w:r>
            <w:r>
              <w:rPr>
                <w:rFonts w:ascii="Century Gothic" w:hAnsi="Century Gothic"/>
                <w:bCs/>
                <w:sz w:val="18"/>
                <w:szCs w:val="18"/>
                <w:lang w:val="en-GB"/>
              </w:rPr>
              <w:t>Rule 3(1) of LN 167/2013</w:t>
            </w:r>
            <w:r w:rsidR="00D12543">
              <w:rPr>
                <w:rFonts w:ascii="Century Gothic" w:hAnsi="Century Gothic"/>
                <w:bCs/>
                <w:sz w:val="18"/>
                <w:szCs w:val="18"/>
                <w:lang w:val="en-GB"/>
              </w:rPr>
              <w:t>)</w:t>
            </w:r>
            <w:r>
              <w:rPr>
                <w:rFonts w:ascii="Century Gothic" w:hAnsi="Century Gothic"/>
                <w:bCs/>
                <w:sz w:val="18"/>
                <w:szCs w:val="18"/>
                <w:lang w:val="en-GB"/>
              </w:rPr>
              <w:t>.</w:t>
            </w:r>
          </w:p>
          <w:p w14:paraId="00CFA8DE" w14:textId="539B9B0C" w:rsidR="000B2156" w:rsidRDefault="000B2156" w:rsidP="00C83D3F">
            <w:pPr>
              <w:keepNext/>
              <w:jc w:val="both"/>
              <w:rPr>
                <w:rFonts w:ascii="Century Gothic" w:hAnsi="Century Gothic"/>
                <w:bCs/>
                <w:sz w:val="18"/>
                <w:szCs w:val="18"/>
                <w:lang w:val="en-GB"/>
              </w:rPr>
            </w:pPr>
          </w:p>
          <w:p w14:paraId="1397F593" w14:textId="606F4984" w:rsidR="000B2156" w:rsidRPr="00C83D3F" w:rsidRDefault="000B2156" w:rsidP="00C83D3F">
            <w:pPr>
              <w:keepNext/>
              <w:jc w:val="both"/>
              <w:rPr>
                <w:rFonts w:ascii="Century Gothic" w:hAnsi="Century Gothic"/>
                <w:b/>
                <w:bCs/>
                <w:sz w:val="18"/>
                <w:szCs w:val="18"/>
                <w:lang w:val="en-GB"/>
              </w:rPr>
            </w:pPr>
            <w:r w:rsidRPr="00C83D3F">
              <w:rPr>
                <w:rFonts w:ascii="Century Gothic" w:hAnsi="Century Gothic"/>
                <w:b/>
                <w:bCs/>
                <w:sz w:val="18"/>
                <w:szCs w:val="18"/>
                <w:lang w:val="en-GB"/>
              </w:rPr>
              <w:t>There is no contribution requirement nor is there an investment requirement similar to that required by the MRVP.</w:t>
            </w:r>
          </w:p>
          <w:p w14:paraId="7BD5A4B5" w14:textId="77777777" w:rsidR="000B2156" w:rsidRDefault="000B2156" w:rsidP="00C83D3F">
            <w:pPr>
              <w:keepNext/>
              <w:jc w:val="both"/>
              <w:rPr>
                <w:rFonts w:ascii="Century Gothic" w:hAnsi="Century Gothic"/>
                <w:bCs/>
                <w:sz w:val="18"/>
                <w:szCs w:val="18"/>
                <w:lang w:val="en-GB"/>
              </w:rPr>
            </w:pPr>
          </w:p>
          <w:p w14:paraId="150CBB4E" w14:textId="3017F959" w:rsidR="000B2156" w:rsidRDefault="000B2156" w:rsidP="00C83D3F">
            <w:pPr>
              <w:keepNext/>
              <w:jc w:val="both"/>
              <w:rPr>
                <w:rFonts w:ascii="Century Gothic" w:hAnsi="Century Gothic"/>
                <w:bCs/>
                <w:sz w:val="18"/>
                <w:szCs w:val="18"/>
                <w:lang w:val="en-GB"/>
              </w:rPr>
            </w:pPr>
            <w:r>
              <w:rPr>
                <w:rFonts w:ascii="Century Gothic" w:hAnsi="Century Gothic"/>
                <w:bCs/>
                <w:sz w:val="18"/>
                <w:szCs w:val="18"/>
                <w:lang w:val="en-GB"/>
              </w:rPr>
              <w:t xml:space="preserve">There are </w:t>
            </w:r>
            <w:r w:rsidRPr="00C83D3F">
              <w:rPr>
                <w:rFonts w:ascii="Century Gothic" w:hAnsi="Century Gothic"/>
                <w:b/>
                <w:bCs/>
                <w:sz w:val="18"/>
                <w:szCs w:val="18"/>
                <w:lang w:val="en-GB"/>
              </w:rPr>
              <w:t>no additional costs for dependants</w:t>
            </w:r>
            <w:r>
              <w:rPr>
                <w:rFonts w:ascii="Century Gothic" w:hAnsi="Century Gothic"/>
                <w:bCs/>
                <w:sz w:val="18"/>
                <w:szCs w:val="18"/>
                <w:lang w:val="en-GB"/>
              </w:rPr>
              <w:t>.</w:t>
            </w:r>
          </w:p>
          <w:p w14:paraId="6D84DBB7" w14:textId="77777777" w:rsidR="000B2156" w:rsidRDefault="000B2156" w:rsidP="00C83D3F">
            <w:pPr>
              <w:keepNext/>
              <w:jc w:val="both"/>
              <w:rPr>
                <w:rFonts w:ascii="Century Gothic" w:hAnsi="Century Gothic"/>
                <w:bCs/>
                <w:sz w:val="18"/>
                <w:szCs w:val="18"/>
                <w:lang w:val="en-GB"/>
              </w:rPr>
            </w:pPr>
          </w:p>
          <w:p w14:paraId="50694E96" w14:textId="065C0F7B" w:rsidR="000D1C0D" w:rsidRDefault="000D1C0D" w:rsidP="00C83D3F">
            <w:pPr>
              <w:keepNext/>
              <w:jc w:val="both"/>
              <w:rPr>
                <w:rFonts w:ascii="Century Gothic" w:hAnsi="Century Gothic"/>
                <w:bCs/>
                <w:sz w:val="18"/>
                <w:szCs w:val="18"/>
                <w:lang w:val="en-GB"/>
              </w:rPr>
            </w:pPr>
            <w:r>
              <w:rPr>
                <w:rFonts w:ascii="Century Gothic" w:hAnsi="Century Gothic"/>
                <w:bCs/>
                <w:sz w:val="18"/>
                <w:szCs w:val="18"/>
                <w:lang w:val="en-GB"/>
              </w:rPr>
              <w:t xml:space="preserve">The </w:t>
            </w:r>
            <w:r w:rsidRPr="004A44E6">
              <w:rPr>
                <w:rFonts w:ascii="Century Gothic" w:hAnsi="Century Gothic"/>
                <w:b/>
                <w:bCs/>
                <w:sz w:val="18"/>
                <w:szCs w:val="18"/>
                <w:lang w:val="en-GB"/>
              </w:rPr>
              <w:t xml:space="preserve">exact amount of money required to obtain </w:t>
            </w:r>
            <w:r>
              <w:rPr>
                <w:rFonts w:ascii="Century Gothic" w:hAnsi="Century Gothic"/>
                <w:b/>
                <w:bCs/>
                <w:sz w:val="18"/>
                <w:szCs w:val="18"/>
                <w:lang w:val="en-GB"/>
              </w:rPr>
              <w:t>special tax status under the GRP</w:t>
            </w:r>
            <w:r>
              <w:rPr>
                <w:rFonts w:ascii="Century Gothic" w:hAnsi="Century Gothic"/>
                <w:bCs/>
                <w:sz w:val="18"/>
                <w:szCs w:val="18"/>
                <w:lang w:val="en-GB"/>
              </w:rPr>
              <w:t xml:space="preserve"> </w:t>
            </w:r>
            <w:r w:rsidRPr="008616A5">
              <w:rPr>
                <w:rFonts w:ascii="Century Gothic" w:hAnsi="Century Gothic"/>
                <w:b/>
                <w:bCs/>
                <w:sz w:val="18"/>
                <w:szCs w:val="18"/>
                <w:lang w:val="en-GB"/>
              </w:rPr>
              <w:t>depends on the specific circumstances</w:t>
            </w:r>
            <w:r>
              <w:rPr>
                <w:rFonts w:ascii="Century Gothic" w:hAnsi="Century Gothic"/>
                <w:bCs/>
                <w:sz w:val="18"/>
                <w:szCs w:val="18"/>
                <w:lang w:val="en-GB"/>
              </w:rPr>
              <w:t xml:space="preserve"> </w:t>
            </w:r>
            <w:r w:rsidR="000B2156">
              <w:rPr>
                <w:rFonts w:ascii="Century Gothic" w:hAnsi="Century Gothic"/>
                <w:bCs/>
                <w:sz w:val="18"/>
                <w:szCs w:val="18"/>
                <w:lang w:val="en-GB"/>
              </w:rPr>
              <w:t xml:space="preserve">namely, where the qualifying property is situated and whether it is a qualifying owned property </w:t>
            </w:r>
            <w:r w:rsidR="000B2156">
              <w:rPr>
                <w:rFonts w:ascii="Century Gothic" w:hAnsi="Century Gothic"/>
                <w:bCs/>
                <w:sz w:val="18"/>
                <w:szCs w:val="18"/>
                <w:lang w:val="en-GB"/>
              </w:rPr>
              <w:lastRenderedPageBreak/>
              <w:t>or a qualifying rented property.</w:t>
            </w:r>
            <w:r>
              <w:rPr>
                <w:rFonts w:ascii="Century Gothic" w:hAnsi="Century Gothic"/>
                <w:bCs/>
                <w:sz w:val="18"/>
                <w:szCs w:val="18"/>
                <w:lang w:val="en-GB"/>
              </w:rPr>
              <w:t xml:space="preserve"> By way of example, in the case of an application by a beneficiary with a qualifying owned property in Malta</w:t>
            </w:r>
            <w:r w:rsidR="000B2156">
              <w:rPr>
                <w:rFonts w:ascii="Century Gothic" w:hAnsi="Century Gothic"/>
                <w:bCs/>
                <w:sz w:val="18"/>
                <w:szCs w:val="18"/>
                <w:lang w:val="en-GB"/>
              </w:rPr>
              <w:t>,</w:t>
            </w:r>
            <w:r>
              <w:rPr>
                <w:rFonts w:ascii="Century Gothic" w:hAnsi="Century Gothic"/>
                <w:bCs/>
                <w:sz w:val="18"/>
                <w:szCs w:val="18"/>
                <w:lang w:val="en-GB"/>
              </w:rPr>
              <w:t xml:space="preserve"> the total disbursement required would amount to </w:t>
            </w:r>
            <w:r w:rsidR="000B2156">
              <w:rPr>
                <w:rFonts w:ascii="Century Gothic" w:hAnsi="Century Gothic"/>
                <w:bCs/>
                <w:sz w:val="18"/>
                <w:szCs w:val="18"/>
                <w:lang w:val="en-GB"/>
              </w:rPr>
              <w:t>EUR 281,000 (</w:t>
            </w:r>
            <w:r>
              <w:rPr>
                <w:rFonts w:ascii="Century Gothic" w:hAnsi="Century Gothic"/>
                <w:bCs/>
                <w:sz w:val="18"/>
                <w:szCs w:val="18"/>
                <w:lang w:val="en-GB"/>
              </w:rPr>
              <w:t xml:space="preserve">EUR </w:t>
            </w:r>
            <w:r w:rsidR="000B2156">
              <w:rPr>
                <w:rFonts w:ascii="Century Gothic" w:hAnsi="Century Gothic"/>
                <w:bCs/>
                <w:sz w:val="18"/>
                <w:szCs w:val="18"/>
                <w:lang w:val="en-GB"/>
              </w:rPr>
              <w:t>275</w:t>
            </w:r>
            <w:r>
              <w:rPr>
                <w:rFonts w:ascii="Century Gothic" w:hAnsi="Century Gothic"/>
                <w:bCs/>
                <w:sz w:val="18"/>
                <w:szCs w:val="18"/>
                <w:lang w:val="en-GB"/>
              </w:rPr>
              <w:t xml:space="preserve">,000 (property) + EUR </w:t>
            </w:r>
            <w:r w:rsidR="000B2156">
              <w:rPr>
                <w:rFonts w:ascii="Century Gothic" w:hAnsi="Century Gothic"/>
                <w:bCs/>
                <w:sz w:val="18"/>
                <w:szCs w:val="18"/>
                <w:lang w:val="en-GB"/>
              </w:rPr>
              <w:t>6,000</w:t>
            </w:r>
            <w:r>
              <w:rPr>
                <w:rFonts w:ascii="Century Gothic" w:hAnsi="Century Gothic"/>
                <w:bCs/>
                <w:sz w:val="18"/>
                <w:szCs w:val="18"/>
                <w:lang w:val="en-GB"/>
              </w:rPr>
              <w:t xml:space="preserve"> (</w:t>
            </w:r>
            <w:r w:rsidR="000B2156">
              <w:rPr>
                <w:rFonts w:ascii="Century Gothic" w:hAnsi="Century Gothic"/>
                <w:bCs/>
                <w:sz w:val="18"/>
                <w:szCs w:val="18"/>
                <w:lang w:val="en-GB"/>
              </w:rPr>
              <w:t>administrative fee</w:t>
            </w:r>
            <w:r>
              <w:rPr>
                <w:rFonts w:ascii="Century Gothic" w:hAnsi="Century Gothic"/>
                <w:bCs/>
                <w:sz w:val="18"/>
                <w:szCs w:val="18"/>
                <w:lang w:val="en-GB"/>
              </w:rPr>
              <w:t>)).</w:t>
            </w:r>
          </w:p>
          <w:p w14:paraId="72F8BCE9" w14:textId="77777777" w:rsidR="000D1C0D" w:rsidRDefault="000D1C0D" w:rsidP="00C83D3F">
            <w:pPr>
              <w:keepNext/>
              <w:jc w:val="both"/>
              <w:rPr>
                <w:rFonts w:ascii="Century Gothic" w:hAnsi="Century Gothic"/>
                <w:bCs/>
                <w:sz w:val="18"/>
                <w:szCs w:val="18"/>
                <w:lang w:val="en-GB"/>
              </w:rPr>
            </w:pPr>
          </w:p>
          <w:p w14:paraId="7ED8F100" w14:textId="64DB3012" w:rsidR="000D1C0D" w:rsidRDefault="000D1C0D" w:rsidP="00C83D3F">
            <w:pPr>
              <w:keepNext/>
              <w:jc w:val="both"/>
              <w:rPr>
                <w:rFonts w:ascii="Century Gothic" w:hAnsi="Century Gothic"/>
                <w:bCs/>
                <w:sz w:val="18"/>
                <w:szCs w:val="18"/>
                <w:lang w:val="en-GB"/>
              </w:rPr>
            </w:pPr>
            <w:r w:rsidRPr="0094796D">
              <w:rPr>
                <w:rFonts w:ascii="Century Gothic" w:hAnsi="Century Gothic"/>
                <w:bCs/>
                <w:sz w:val="18"/>
                <w:szCs w:val="18"/>
                <w:lang w:val="en-US"/>
              </w:rPr>
              <w:t xml:space="preserve">The applicant must also pay the </w:t>
            </w:r>
            <w:proofErr w:type="spellStart"/>
            <w:r w:rsidR="000B2156">
              <w:rPr>
                <w:rFonts w:ascii="Century Gothic" w:hAnsi="Century Gothic"/>
                <w:b/>
                <w:bCs/>
                <w:sz w:val="18"/>
                <w:szCs w:val="18"/>
                <w:lang w:val="en-US"/>
              </w:rPr>
              <w:t>authorised</w:t>
            </w:r>
            <w:proofErr w:type="spellEnd"/>
            <w:r w:rsidR="000B2156">
              <w:rPr>
                <w:rFonts w:ascii="Century Gothic" w:hAnsi="Century Gothic"/>
                <w:b/>
                <w:bCs/>
                <w:sz w:val="18"/>
                <w:szCs w:val="18"/>
                <w:lang w:val="en-US"/>
              </w:rPr>
              <w:t xml:space="preserve"> mandatory’s</w:t>
            </w:r>
            <w:r w:rsidRPr="004A44E6">
              <w:rPr>
                <w:rFonts w:ascii="Century Gothic" w:hAnsi="Century Gothic"/>
                <w:b/>
                <w:bCs/>
                <w:sz w:val="18"/>
                <w:szCs w:val="18"/>
                <w:lang w:val="en-US"/>
              </w:rPr>
              <w:t xml:space="preserve"> fees</w:t>
            </w:r>
            <w:r w:rsidRPr="0094796D">
              <w:rPr>
                <w:rFonts w:ascii="Century Gothic" w:hAnsi="Century Gothic"/>
                <w:bCs/>
                <w:sz w:val="18"/>
                <w:szCs w:val="18"/>
                <w:lang w:val="en-US"/>
              </w:rPr>
              <w:t xml:space="preserve">. These are determined by agreement between the </w:t>
            </w:r>
            <w:r w:rsidR="000B2156">
              <w:rPr>
                <w:rFonts w:ascii="Century Gothic" w:hAnsi="Century Gothic"/>
                <w:bCs/>
                <w:sz w:val="18"/>
                <w:szCs w:val="18"/>
                <w:lang w:val="en-US"/>
              </w:rPr>
              <w:t>mandatory</w:t>
            </w:r>
            <w:r w:rsidR="00C132B6">
              <w:rPr>
                <w:rFonts w:ascii="Century Gothic" w:hAnsi="Century Gothic"/>
                <w:bCs/>
                <w:sz w:val="18"/>
                <w:szCs w:val="18"/>
                <w:lang w:val="en-US"/>
              </w:rPr>
              <w:t xml:space="preserve"> and the client.</w:t>
            </w:r>
            <w:r w:rsidRPr="0094796D">
              <w:rPr>
                <w:rFonts w:ascii="Century Gothic" w:hAnsi="Century Gothic"/>
                <w:bCs/>
                <w:sz w:val="18"/>
                <w:szCs w:val="18"/>
                <w:lang w:val="en-US"/>
              </w:rPr>
              <w:t xml:space="preserve"> </w:t>
            </w:r>
          </w:p>
        </w:tc>
        <w:tc>
          <w:tcPr>
            <w:tcW w:w="1698" w:type="pct"/>
            <w:shd w:val="clear" w:color="auto" w:fill="F2F2F2" w:themeFill="background1" w:themeFillShade="F2"/>
          </w:tcPr>
          <w:p w14:paraId="12EC2D48" w14:textId="77777777" w:rsidR="00C132B6" w:rsidRDefault="00D12543" w:rsidP="00AA565E">
            <w:pPr>
              <w:jc w:val="both"/>
              <w:rPr>
                <w:rFonts w:ascii="Century Gothic" w:hAnsi="Century Gothic"/>
                <w:bCs/>
                <w:sz w:val="18"/>
                <w:szCs w:val="18"/>
                <w:lang w:val="en-GB"/>
              </w:rPr>
            </w:pPr>
            <w:r w:rsidRPr="00AA565E">
              <w:rPr>
                <w:rFonts w:ascii="Century Gothic" w:hAnsi="Century Gothic"/>
                <w:bCs/>
                <w:sz w:val="18"/>
                <w:szCs w:val="18"/>
                <w:lang w:val="en-GB"/>
              </w:rPr>
              <w:lastRenderedPageBreak/>
              <w:t xml:space="preserve">The procedure for verification is not specified in </w:t>
            </w:r>
            <w:r w:rsidR="00AA565E">
              <w:rPr>
                <w:rFonts w:ascii="Century Gothic" w:hAnsi="Century Gothic"/>
                <w:bCs/>
                <w:sz w:val="18"/>
                <w:szCs w:val="18"/>
                <w:lang w:val="en-GB"/>
              </w:rPr>
              <w:t>LN 167/2013. The GRP Guidance Notes</w:t>
            </w:r>
            <w:r w:rsidR="00AA565E">
              <w:rPr>
                <w:rStyle w:val="FootnoteReference"/>
                <w:rFonts w:ascii="Century Gothic" w:hAnsi="Century Gothic"/>
                <w:bCs/>
                <w:sz w:val="18"/>
                <w:szCs w:val="18"/>
                <w:lang w:val="en-GB"/>
              </w:rPr>
              <w:footnoteReference w:id="124"/>
            </w:r>
            <w:r w:rsidR="00AA565E">
              <w:rPr>
                <w:rFonts w:ascii="Century Gothic" w:hAnsi="Century Gothic"/>
                <w:bCs/>
                <w:sz w:val="18"/>
                <w:szCs w:val="18"/>
                <w:lang w:val="en-GB"/>
              </w:rPr>
              <w:t xml:space="preserve"> specify that fulfilment of the requirement to hol</w:t>
            </w:r>
            <w:r w:rsidR="00EB49DF">
              <w:rPr>
                <w:rFonts w:ascii="Century Gothic" w:hAnsi="Century Gothic"/>
                <w:bCs/>
                <w:sz w:val="18"/>
                <w:szCs w:val="18"/>
                <w:lang w:val="en-GB"/>
              </w:rPr>
              <w:t>d</w:t>
            </w:r>
            <w:r w:rsidR="00AA565E">
              <w:rPr>
                <w:rFonts w:ascii="Century Gothic" w:hAnsi="Century Gothic"/>
                <w:bCs/>
                <w:sz w:val="18"/>
                <w:szCs w:val="18"/>
                <w:lang w:val="en-GB"/>
              </w:rPr>
              <w:t xml:space="preserve"> a qualifying property is proved through a </w:t>
            </w:r>
            <w:r w:rsidR="00AA565E" w:rsidRPr="00C83D3F">
              <w:rPr>
                <w:rFonts w:ascii="Century Gothic" w:hAnsi="Century Gothic"/>
                <w:b/>
                <w:bCs/>
                <w:sz w:val="18"/>
                <w:szCs w:val="18"/>
                <w:lang w:val="en-GB"/>
              </w:rPr>
              <w:t>final deed of purchase o</w:t>
            </w:r>
            <w:r w:rsidR="00C132B6" w:rsidRPr="00C83D3F">
              <w:rPr>
                <w:rFonts w:ascii="Century Gothic" w:hAnsi="Century Gothic"/>
                <w:b/>
                <w:bCs/>
                <w:sz w:val="18"/>
                <w:szCs w:val="18"/>
                <w:lang w:val="en-GB"/>
              </w:rPr>
              <w:t xml:space="preserve">r </w:t>
            </w:r>
            <w:r w:rsidR="00AA565E" w:rsidRPr="00C83D3F">
              <w:rPr>
                <w:rFonts w:ascii="Century Gothic" w:hAnsi="Century Gothic"/>
                <w:b/>
                <w:bCs/>
                <w:sz w:val="18"/>
                <w:szCs w:val="18"/>
                <w:lang w:val="en-GB"/>
              </w:rPr>
              <w:t>a lease agreement</w:t>
            </w:r>
            <w:r w:rsidR="00AA565E">
              <w:rPr>
                <w:rFonts w:ascii="Century Gothic" w:hAnsi="Century Gothic"/>
                <w:bCs/>
                <w:sz w:val="18"/>
                <w:szCs w:val="18"/>
                <w:lang w:val="en-GB"/>
              </w:rPr>
              <w:t xml:space="preserve">. Applicants must also declare that they occupy the qualifying property as their principal place of residence worldwide. </w:t>
            </w:r>
          </w:p>
          <w:p w14:paraId="3A09605A" w14:textId="77777777" w:rsidR="00C132B6" w:rsidRDefault="00C132B6" w:rsidP="00AA565E">
            <w:pPr>
              <w:jc w:val="both"/>
              <w:rPr>
                <w:rFonts w:ascii="Century Gothic" w:hAnsi="Century Gothic"/>
                <w:bCs/>
                <w:sz w:val="18"/>
                <w:szCs w:val="18"/>
                <w:lang w:val="en-GB"/>
              </w:rPr>
            </w:pPr>
          </w:p>
          <w:p w14:paraId="4FD427B7" w14:textId="0991D0F1" w:rsidR="00AA565E" w:rsidRPr="00AA565E" w:rsidRDefault="00AA565E" w:rsidP="00AA565E">
            <w:pPr>
              <w:jc w:val="both"/>
              <w:rPr>
                <w:rFonts w:ascii="Century Gothic" w:hAnsi="Century Gothic"/>
                <w:bCs/>
                <w:sz w:val="18"/>
                <w:szCs w:val="18"/>
                <w:lang w:val="en-US"/>
              </w:rPr>
            </w:pPr>
            <w:r>
              <w:rPr>
                <w:rFonts w:ascii="Century Gothic" w:hAnsi="Century Gothic"/>
                <w:bCs/>
                <w:sz w:val="18"/>
                <w:szCs w:val="18"/>
                <w:lang w:val="en-GB"/>
              </w:rPr>
              <w:t>The Guidance Notes also state that GRP</w:t>
            </w:r>
            <w:r w:rsidRPr="00AA565E">
              <w:rPr>
                <w:rFonts w:ascii="Century Gothic" w:hAnsi="Century Gothic"/>
                <w:bCs/>
                <w:sz w:val="18"/>
                <w:szCs w:val="18"/>
                <w:lang w:val="en-US"/>
              </w:rPr>
              <w:t xml:space="preserve"> applicant</w:t>
            </w:r>
            <w:r>
              <w:rPr>
                <w:rFonts w:ascii="Century Gothic" w:hAnsi="Century Gothic"/>
                <w:bCs/>
                <w:sz w:val="18"/>
                <w:szCs w:val="18"/>
                <w:lang w:val="en-US"/>
              </w:rPr>
              <w:t>s</w:t>
            </w:r>
            <w:r w:rsidRPr="00AA565E">
              <w:rPr>
                <w:rFonts w:ascii="Century Gothic" w:hAnsi="Century Gothic"/>
                <w:bCs/>
                <w:sz w:val="18"/>
                <w:szCs w:val="18"/>
                <w:lang w:val="en-US"/>
              </w:rPr>
              <w:t xml:space="preserve"> need not be the owner or lessee of a qualifying property at </w:t>
            </w:r>
            <w:r>
              <w:rPr>
                <w:rFonts w:ascii="Century Gothic" w:hAnsi="Century Gothic"/>
                <w:bCs/>
                <w:sz w:val="18"/>
                <w:szCs w:val="18"/>
                <w:lang w:val="en-US"/>
              </w:rPr>
              <w:t xml:space="preserve">the </w:t>
            </w:r>
            <w:r w:rsidRPr="00AA565E">
              <w:rPr>
                <w:rFonts w:ascii="Century Gothic" w:hAnsi="Century Gothic"/>
                <w:bCs/>
                <w:sz w:val="18"/>
                <w:szCs w:val="18"/>
                <w:lang w:val="en-US"/>
              </w:rPr>
              <w:t xml:space="preserve">time of application and may submit the certified final deed or lease agreement, as the case may be, at a later stage. However: </w:t>
            </w:r>
          </w:p>
          <w:p w14:paraId="43757142" w14:textId="53954834" w:rsidR="00AA565E" w:rsidRDefault="00AA565E" w:rsidP="00C83D3F">
            <w:pPr>
              <w:numPr>
                <w:ilvl w:val="0"/>
                <w:numId w:val="42"/>
              </w:numPr>
              <w:jc w:val="both"/>
              <w:rPr>
                <w:rFonts w:ascii="Century Gothic" w:hAnsi="Century Gothic"/>
                <w:bCs/>
                <w:sz w:val="18"/>
                <w:szCs w:val="18"/>
                <w:lang w:val="en-US"/>
              </w:rPr>
            </w:pPr>
            <w:r w:rsidRPr="00AA565E">
              <w:rPr>
                <w:rFonts w:ascii="Century Gothic" w:hAnsi="Century Gothic"/>
                <w:bCs/>
                <w:sz w:val="18"/>
                <w:szCs w:val="18"/>
                <w:lang w:val="en-US"/>
              </w:rPr>
              <w:t xml:space="preserve">in order for an applicant to benefit from the reduced administrative fee, in the case of an owned immovable property situated in the south of Malta, the certified final deed of purchase needs to be submitted </w:t>
            </w:r>
            <w:proofErr w:type="spellStart"/>
            <w:r w:rsidRPr="00AA565E">
              <w:rPr>
                <w:rFonts w:ascii="Century Gothic" w:hAnsi="Century Gothic"/>
                <w:bCs/>
                <w:sz w:val="18"/>
                <w:szCs w:val="18"/>
                <w:lang w:val="en-US"/>
              </w:rPr>
              <w:t>at</w:t>
            </w:r>
            <w:proofErr w:type="spellEnd"/>
            <w:r w:rsidRPr="00AA565E">
              <w:rPr>
                <w:rFonts w:ascii="Century Gothic" w:hAnsi="Century Gothic"/>
                <w:bCs/>
                <w:sz w:val="18"/>
                <w:szCs w:val="18"/>
                <w:lang w:val="en-US"/>
              </w:rPr>
              <w:t xml:space="preserve"> application stage; </w:t>
            </w:r>
          </w:p>
          <w:p w14:paraId="27E5C358" w14:textId="77777777" w:rsidR="000D1C0D" w:rsidRDefault="00AA565E" w:rsidP="00C83D3F">
            <w:pPr>
              <w:numPr>
                <w:ilvl w:val="0"/>
                <w:numId w:val="42"/>
              </w:numPr>
              <w:jc w:val="both"/>
              <w:rPr>
                <w:rFonts w:ascii="Century Gothic" w:hAnsi="Century Gothic"/>
                <w:bCs/>
                <w:sz w:val="18"/>
                <w:szCs w:val="18"/>
                <w:lang w:val="en-US"/>
              </w:rPr>
            </w:pPr>
            <w:r w:rsidRPr="00E20074">
              <w:rPr>
                <w:rFonts w:ascii="Century Gothic" w:hAnsi="Century Gothic"/>
                <w:b/>
                <w:bCs/>
                <w:sz w:val="18"/>
                <w:szCs w:val="18"/>
                <w:lang w:val="en-US"/>
              </w:rPr>
              <w:t>special tax status will not be confirmed unless and until the certified final deed or lease agreement, as the case may be, is submitted</w:t>
            </w:r>
            <w:r w:rsidRPr="00AA565E">
              <w:rPr>
                <w:rFonts w:ascii="Century Gothic" w:hAnsi="Century Gothic"/>
                <w:bCs/>
                <w:sz w:val="18"/>
                <w:szCs w:val="18"/>
                <w:lang w:val="en-US"/>
              </w:rPr>
              <w:t>.</w:t>
            </w:r>
            <w:r>
              <w:rPr>
                <w:rStyle w:val="FootnoteReference"/>
                <w:rFonts w:ascii="Century Gothic" w:hAnsi="Century Gothic"/>
                <w:bCs/>
                <w:sz w:val="18"/>
                <w:szCs w:val="18"/>
                <w:lang w:val="en-US"/>
              </w:rPr>
              <w:footnoteReference w:id="125"/>
            </w:r>
          </w:p>
          <w:p w14:paraId="3E82E2D8" w14:textId="77777777" w:rsidR="00EB49DF" w:rsidRDefault="00EB49DF" w:rsidP="00EB49DF">
            <w:pPr>
              <w:jc w:val="both"/>
              <w:rPr>
                <w:rFonts w:ascii="Century Gothic" w:hAnsi="Century Gothic"/>
                <w:bCs/>
                <w:sz w:val="18"/>
                <w:szCs w:val="18"/>
                <w:lang w:val="en-US"/>
              </w:rPr>
            </w:pPr>
          </w:p>
          <w:p w14:paraId="0610CB62" w14:textId="14C23C62" w:rsidR="00EB49DF" w:rsidRPr="00EB49DF" w:rsidRDefault="00EB49DF" w:rsidP="00C83D3F">
            <w:pPr>
              <w:jc w:val="both"/>
              <w:rPr>
                <w:rFonts w:ascii="Century Gothic" w:hAnsi="Century Gothic"/>
                <w:bCs/>
                <w:sz w:val="18"/>
                <w:szCs w:val="18"/>
                <w:lang w:val="en-US"/>
              </w:rPr>
            </w:pPr>
            <w:r w:rsidRPr="00EB49DF">
              <w:rPr>
                <w:rFonts w:ascii="Century Gothic" w:hAnsi="Century Gothic"/>
                <w:bCs/>
                <w:sz w:val="18"/>
                <w:szCs w:val="18"/>
                <w:lang w:val="en-US"/>
              </w:rPr>
              <w:t>Where the applicant would have already acquired or rented a qualifying property by the application date, an authenticated copy of the contract providing evidence of such acquisition and title or lease, as the case may be, needs to be attached to the application.</w:t>
            </w:r>
            <w:r w:rsidR="00C132B6">
              <w:rPr>
                <w:rStyle w:val="FootnoteReference"/>
                <w:rFonts w:ascii="Century Gothic" w:hAnsi="Century Gothic"/>
                <w:bCs/>
                <w:sz w:val="18"/>
                <w:szCs w:val="18"/>
                <w:lang w:val="en-US"/>
              </w:rPr>
              <w:footnoteReference w:id="126"/>
            </w:r>
            <w:r w:rsidRPr="00EB49DF">
              <w:rPr>
                <w:rFonts w:ascii="Century Gothic" w:hAnsi="Century Gothic"/>
                <w:bCs/>
                <w:sz w:val="18"/>
                <w:szCs w:val="18"/>
                <w:lang w:val="en-US"/>
              </w:rPr>
              <w:t xml:space="preserve"> </w:t>
            </w:r>
          </w:p>
          <w:p w14:paraId="63A28D80" w14:textId="3483C755" w:rsidR="00EB49DF" w:rsidRPr="00C83D3F" w:rsidRDefault="00EB49DF" w:rsidP="00EB49DF">
            <w:pPr>
              <w:jc w:val="both"/>
              <w:rPr>
                <w:rFonts w:ascii="Century Gothic" w:hAnsi="Century Gothic"/>
                <w:bCs/>
                <w:sz w:val="18"/>
                <w:szCs w:val="18"/>
                <w:lang w:val="en-US"/>
              </w:rPr>
            </w:pPr>
          </w:p>
        </w:tc>
        <w:tc>
          <w:tcPr>
            <w:tcW w:w="661" w:type="pct"/>
            <w:shd w:val="clear" w:color="auto" w:fill="F2F2F2" w:themeFill="background1" w:themeFillShade="F2"/>
          </w:tcPr>
          <w:p w14:paraId="6E1B551E" w14:textId="24D1761D" w:rsidR="000D1C0D" w:rsidRDefault="00D12543" w:rsidP="000D1C0D">
            <w:pPr>
              <w:jc w:val="both"/>
              <w:rPr>
                <w:rFonts w:ascii="Century Gothic" w:hAnsi="Century Gothic"/>
                <w:bCs/>
                <w:sz w:val="18"/>
                <w:szCs w:val="18"/>
                <w:lang w:val="en-GB"/>
              </w:rPr>
            </w:pPr>
            <w:r>
              <w:rPr>
                <w:rFonts w:ascii="Century Gothic" w:hAnsi="Century Gothic"/>
                <w:bCs/>
                <w:sz w:val="18"/>
                <w:szCs w:val="18"/>
                <w:lang w:val="en-GB"/>
              </w:rPr>
              <w:t>The competent authorities and non-public bodies involved are described in points 1.1, 1.2 and 1.3 of Section II above. An authorised registered mandatory must represent the applicant. The Commissioner for Revenue must check that all requirements are satisfied and determine whether or not special tax status can be granted.</w:t>
            </w:r>
          </w:p>
        </w:tc>
      </w:tr>
    </w:tbl>
    <w:p w14:paraId="206F9B35" w14:textId="77777777" w:rsidR="00947E0C" w:rsidRPr="00523824" w:rsidRDefault="00947E0C" w:rsidP="00947E0C">
      <w:pPr>
        <w:pStyle w:val="MH1"/>
        <w:spacing w:after="0"/>
      </w:pPr>
      <w:bookmarkStart w:id="22" w:name="_Toc517765942"/>
      <w:bookmarkEnd w:id="21"/>
      <w:r w:rsidRPr="00523824">
        <w:lastRenderedPageBreak/>
        <w:t>Residence Phase</w:t>
      </w:r>
      <w:bookmarkEnd w:id="22"/>
    </w:p>
    <w:p w14:paraId="74A201F7" w14:textId="77777777" w:rsidR="00947E0C" w:rsidRPr="00523824" w:rsidRDefault="00947E0C" w:rsidP="00947E0C">
      <w:pPr>
        <w:jc w:val="both"/>
        <w:rPr>
          <w:bCs/>
          <w:i/>
          <w:color w:val="FF0000"/>
          <w:sz w:val="22"/>
          <w:szCs w:val="22"/>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4101"/>
        <w:gridCol w:w="3401"/>
        <w:gridCol w:w="1845"/>
        <w:gridCol w:w="4591"/>
      </w:tblGrid>
      <w:tr w:rsidR="004A44E6" w:rsidRPr="00523824" w14:paraId="6B923822" w14:textId="77777777" w:rsidTr="00FA5334">
        <w:tc>
          <w:tcPr>
            <w:tcW w:w="1471" w:type="pct"/>
            <w:tcBorders>
              <w:bottom w:val="single" w:sz="8" w:space="0" w:color="FFFFFF" w:themeColor="background1"/>
            </w:tcBorders>
            <w:shd w:val="clear" w:color="auto" w:fill="B8CCE4" w:themeFill="accent1" w:themeFillTint="66"/>
          </w:tcPr>
          <w:p w14:paraId="0632460A" w14:textId="77777777" w:rsidR="00947E0C" w:rsidRPr="00523824" w:rsidRDefault="00947E0C" w:rsidP="00A94173">
            <w:pPr>
              <w:jc w:val="center"/>
              <w:rPr>
                <w:rFonts w:ascii="Century Gothic" w:hAnsi="Century Gothic"/>
                <w:b/>
                <w:bCs/>
                <w:sz w:val="18"/>
                <w:szCs w:val="18"/>
                <w:lang w:val="en-GB"/>
              </w:rPr>
            </w:pPr>
            <w:bookmarkStart w:id="23" w:name="_Hlk496122469"/>
            <w:r w:rsidRPr="00523824">
              <w:rPr>
                <w:rFonts w:ascii="Century Gothic" w:hAnsi="Century Gothic"/>
                <w:b/>
                <w:bCs/>
                <w:sz w:val="18"/>
                <w:szCs w:val="18"/>
                <w:lang w:val="en-GB"/>
              </w:rPr>
              <w:t>Residence permit</w:t>
            </w:r>
          </w:p>
        </w:tc>
        <w:tc>
          <w:tcPr>
            <w:tcW w:w="1220" w:type="pct"/>
            <w:tcBorders>
              <w:bottom w:val="single" w:sz="8" w:space="0" w:color="FFFFFF" w:themeColor="background1"/>
            </w:tcBorders>
            <w:shd w:val="clear" w:color="auto" w:fill="B8CCE4" w:themeFill="accent1" w:themeFillTint="66"/>
          </w:tcPr>
          <w:p w14:paraId="51B590EC" w14:textId="77777777" w:rsidR="00947E0C" w:rsidRPr="00523824" w:rsidRDefault="00947E0C" w:rsidP="00A94173">
            <w:pPr>
              <w:jc w:val="center"/>
              <w:rPr>
                <w:rFonts w:ascii="Century Gothic" w:hAnsi="Century Gothic"/>
                <w:b/>
                <w:bCs/>
                <w:sz w:val="18"/>
                <w:szCs w:val="18"/>
                <w:lang w:val="en-GB"/>
              </w:rPr>
            </w:pPr>
            <w:r w:rsidRPr="00523824">
              <w:rPr>
                <w:rFonts w:ascii="Century Gothic" w:hAnsi="Century Gothic"/>
                <w:b/>
                <w:bCs/>
                <w:sz w:val="18"/>
                <w:szCs w:val="18"/>
                <w:lang w:val="en-GB"/>
              </w:rPr>
              <w:t>Procedure</w:t>
            </w:r>
          </w:p>
          <w:p w14:paraId="3D859CC7" w14:textId="77777777" w:rsidR="00947E0C" w:rsidRPr="00CE0FFD" w:rsidRDefault="00947E0C" w:rsidP="00A94173">
            <w:pPr>
              <w:rPr>
                <w:rFonts w:ascii="Century Gothic" w:hAnsi="Century Gothic"/>
                <w:b/>
                <w:bCs/>
                <w:i/>
                <w:sz w:val="18"/>
                <w:szCs w:val="18"/>
              </w:rPr>
            </w:pPr>
          </w:p>
        </w:tc>
        <w:tc>
          <w:tcPr>
            <w:tcW w:w="662" w:type="pct"/>
            <w:tcBorders>
              <w:bottom w:val="single" w:sz="8" w:space="0" w:color="FFFFFF" w:themeColor="background1"/>
            </w:tcBorders>
            <w:shd w:val="clear" w:color="auto" w:fill="B8CCE4" w:themeFill="accent1" w:themeFillTint="66"/>
          </w:tcPr>
          <w:p w14:paraId="49DC5F7A" w14:textId="77777777" w:rsidR="00947E0C" w:rsidRPr="00CE0FFD" w:rsidRDefault="00947E0C" w:rsidP="00A94173">
            <w:pPr>
              <w:jc w:val="center"/>
              <w:rPr>
                <w:rFonts w:ascii="Century Gothic" w:hAnsi="Century Gothic"/>
                <w:b/>
                <w:bCs/>
                <w:sz w:val="18"/>
                <w:szCs w:val="18"/>
                <w:lang w:val="en-GB"/>
              </w:rPr>
            </w:pPr>
            <w:r w:rsidRPr="00BF2E9C">
              <w:rPr>
                <w:rFonts w:ascii="Century Gothic" w:hAnsi="Century Gothic"/>
                <w:b/>
                <w:bCs/>
                <w:sz w:val="18"/>
                <w:szCs w:val="18"/>
                <w:lang w:val="en-GB"/>
              </w:rPr>
              <w:t>Competent authorities</w:t>
            </w:r>
            <w:r>
              <w:rPr>
                <w:rFonts w:ascii="Century Gothic" w:hAnsi="Century Gothic"/>
                <w:b/>
                <w:bCs/>
                <w:sz w:val="18"/>
                <w:szCs w:val="18"/>
                <w:lang w:val="en-GB"/>
              </w:rPr>
              <w:t xml:space="preserve"> and non-public bodies</w:t>
            </w:r>
          </w:p>
        </w:tc>
        <w:tc>
          <w:tcPr>
            <w:tcW w:w="1647" w:type="pct"/>
            <w:tcBorders>
              <w:bottom w:val="single" w:sz="8" w:space="0" w:color="FFFFFF" w:themeColor="background1"/>
            </w:tcBorders>
            <w:shd w:val="clear" w:color="auto" w:fill="B8CCE4" w:themeFill="accent1" w:themeFillTint="66"/>
          </w:tcPr>
          <w:p w14:paraId="2647955A" w14:textId="77777777" w:rsidR="00947E0C" w:rsidRPr="00523824" w:rsidRDefault="00947E0C" w:rsidP="00A94173">
            <w:pPr>
              <w:jc w:val="center"/>
              <w:rPr>
                <w:rFonts w:ascii="Century Gothic" w:hAnsi="Century Gothic"/>
                <w:b/>
                <w:bCs/>
                <w:sz w:val="18"/>
                <w:szCs w:val="18"/>
                <w:lang w:val="en-GB"/>
              </w:rPr>
            </w:pPr>
            <w:r w:rsidRPr="00523824">
              <w:rPr>
                <w:rFonts w:ascii="Century Gothic" w:hAnsi="Century Gothic"/>
                <w:b/>
                <w:bCs/>
                <w:sz w:val="18"/>
                <w:szCs w:val="18"/>
                <w:lang w:val="en-GB"/>
              </w:rPr>
              <w:t>Renewal of the residence permit</w:t>
            </w:r>
          </w:p>
          <w:p w14:paraId="233962DB" w14:textId="77777777" w:rsidR="00947E0C" w:rsidRPr="00387C6B" w:rsidRDefault="00947E0C" w:rsidP="00A94173">
            <w:pPr>
              <w:rPr>
                <w:rFonts w:ascii="Century Gothic" w:hAnsi="Century Gothic"/>
                <w:b/>
                <w:bCs/>
                <w:sz w:val="18"/>
                <w:szCs w:val="18"/>
              </w:rPr>
            </w:pPr>
          </w:p>
        </w:tc>
      </w:tr>
      <w:tr w:rsidR="00FA2A6A" w:rsidRPr="00523824" w14:paraId="643BC490" w14:textId="77777777" w:rsidTr="00C83D3F">
        <w:tc>
          <w:tcPr>
            <w:tcW w:w="5000" w:type="pct"/>
            <w:gridSpan w:val="4"/>
            <w:shd w:val="clear" w:color="auto" w:fill="B6DDE8" w:themeFill="accent5" w:themeFillTint="66"/>
          </w:tcPr>
          <w:p w14:paraId="531EEB75" w14:textId="5BA38DF5" w:rsidR="00FA2A6A" w:rsidRPr="00523824" w:rsidRDefault="00FA2A6A" w:rsidP="003E57C3">
            <w:pPr>
              <w:rPr>
                <w:rFonts w:ascii="Century Gothic" w:hAnsi="Century Gothic"/>
                <w:b/>
                <w:bCs/>
                <w:sz w:val="18"/>
                <w:szCs w:val="18"/>
                <w:lang w:val="en-GB"/>
              </w:rPr>
            </w:pPr>
            <w:r>
              <w:rPr>
                <w:rFonts w:ascii="Century Gothic" w:hAnsi="Century Gothic"/>
                <w:b/>
                <w:bCs/>
                <w:sz w:val="18"/>
                <w:szCs w:val="18"/>
                <w:lang w:val="en-GB"/>
              </w:rPr>
              <w:t>MRVP</w:t>
            </w:r>
          </w:p>
        </w:tc>
      </w:tr>
      <w:tr w:rsidR="00FA5334" w:rsidRPr="006B5ED7" w14:paraId="3B75A778" w14:textId="77777777" w:rsidTr="00FA5334">
        <w:tc>
          <w:tcPr>
            <w:tcW w:w="1471" w:type="pct"/>
            <w:tcBorders>
              <w:bottom w:val="single" w:sz="8" w:space="0" w:color="FFFFFF" w:themeColor="background1"/>
            </w:tcBorders>
            <w:shd w:val="clear" w:color="auto" w:fill="F2F2F2" w:themeFill="background1" w:themeFillShade="F2"/>
          </w:tcPr>
          <w:p w14:paraId="6380629E" w14:textId="77777777" w:rsidR="00947E0C" w:rsidRDefault="00947E0C" w:rsidP="00A94173">
            <w:pPr>
              <w:jc w:val="both"/>
              <w:rPr>
                <w:rFonts w:ascii="Century Gothic" w:hAnsi="Century Gothic"/>
                <w:bCs/>
                <w:sz w:val="18"/>
                <w:szCs w:val="18"/>
                <w:lang w:val="en-GB"/>
              </w:rPr>
            </w:pPr>
            <w:r w:rsidRPr="00E34EC0">
              <w:rPr>
                <w:rFonts w:ascii="Century Gothic" w:hAnsi="Century Gothic"/>
                <w:bCs/>
                <w:sz w:val="18"/>
                <w:szCs w:val="18"/>
                <w:lang w:val="en-GB"/>
              </w:rPr>
              <w:t xml:space="preserve">Certificates issued under LN 288/2015 are deemed to constitute a </w:t>
            </w:r>
            <w:r w:rsidRPr="00862896">
              <w:rPr>
                <w:rFonts w:ascii="Century Gothic" w:hAnsi="Century Gothic"/>
                <w:b/>
                <w:bCs/>
                <w:sz w:val="18"/>
                <w:szCs w:val="18"/>
                <w:lang w:val="en-GB"/>
              </w:rPr>
              <w:t>residence permit</w:t>
            </w:r>
            <w:r w:rsidRPr="00E34EC0">
              <w:rPr>
                <w:rFonts w:ascii="Century Gothic" w:hAnsi="Century Gothic"/>
                <w:bCs/>
                <w:sz w:val="18"/>
                <w:szCs w:val="18"/>
                <w:lang w:val="en-GB"/>
              </w:rPr>
              <w:t xml:space="preserve"> issued in terms of Article 7 of the Immigration Act</w:t>
            </w:r>
            <w:r>
              <w:rPr>
                <w:rFonts w:ascii="Century Gothic" w:hAnsi="Century Gothic"/>
                <w:bCs/>
                <w:sz w:val="18"/>
                <w:szCs w:val="18"/>
                <w:lang w:val="en-GB"/>
              </w:rPr>
              <w:t xml:space="preserve"> (Regulation 3 of LN 288/2015). </w:t>
            </w:r>
          </w:p>
          <w:p w14:paraId="4F542163" w14:textId="77777777" w:rsidR="00947E0C" w:rsidRDefault="00947E0C" w:rsidP="00A94173">
            <w:pPr>
              <w:jc w:val="both"/>
              <w:rPr>
                <w:rFonts w:ascii="Century Gothic" w:hAnsi="Century Gothic"/>
                <w:bCs/>
                <w:sz w:val="18"/>
                <w:szCs w:val="18"/>
                <w:lang w:val="en-GB"/>
              </w:rPr>
            </w:pPr>
          </w:p>
          <w:p w14:paraId="6991B292" w14:textId="77777777" w:rsidR="00947E0C" w:rsidRDefault="00947E0C" w:rsidP="00A94173">
            <w:pPr>
              <w:jc w:val="both"/>
              <w:rPr>
                <w:rFonts w:ascii="Century Gothic" w:hAnsi="Century Gothic"/>
                <w:bCs/>
                <w:sz w:val="18"/>
                <w:szCs w:val="18"/>
                <w:lang w:val="en-GB"/>
              </w:rPr>
            </w:pPr>
            <w:r>
              <w:rPr>
                <w:rFonts w:ascii="Century Gothic" w:hAnsi="Century Gothic"/>
                <w:bCs/>
                <w:sz w:val="18"/>
                <w:szCs w:val="18"/>
                <w:lang w:val="en-GB"/>
              </w:rPr>
              <w:t>Article 2 of the Immigration Act defines ‘residence permit’ as a permit issued under its Article 7(1),</w:t>
            </w:r>
          </w:p>
          <w:p w14:paraId="157C828D" w14:textId="77777777" w:rsidR="00947E0C" w:rsidRDefault="00947E0C" w:rsidP="00A94173">
            <w:pPr>
              <w:jc w:val="both"/>
              <w:rPr>
                <w:rFonts w:ascii="Century Gothic" w:hAnsi="Century Gothic"/>
                <w:bCs/>
                <w:sz w:val="18"/>
                <w:szCs w:val="18"/>
                <w:lang w:val="en-GB"/>
              </w:rPr>
            </w:pPr>
          </w:p>
          <w:p w14:paraId="4B1C9151" w14:textId="18C5FEE7" w:rsidR="007726FE" w:rsidRPr="00692708" w:rsidRDefault="00947E0C" w:rsidP="00A94173">
            <w:pPr>
              <w:jc w:val="both"/>
              <w:rPr>
                <w:rFonts w:ascii="Century Gothic" w:hAnsi="Century Gothic"/>
                <w:bCs/>
                <w:sz w:val="18"/>
                <w:szCs w:val="18"/>
                <w:lang w:val="en-US"/>
              </w:rPr>
            </w:pPr>
            <w:r>
              <w:rPr>
                <w:rFonts w:ascii="Century Gothic" w:hAnsi="Century Gothic"/>
                <w:bCs/>
                <w:sz w:val="18"/>
                <w:szCs w:val="18"/>
                <w:lang w:val="en-GB"/>
              </w:rPr>
              <w:t xml:space="preserve">In accordance with Article 7(1) of the Immigration Act a residence permit is issued by the Minister responsible for immigration to any person who applies for retirement, settlement or indefinite stay in Malta. According to Article 7(2) of the Immigration Act, a residence permit confers the right to land and remain </w:t>
            </w:r>
            <w:r w:rsidRPr="00692708">
              <w:rPr>
                <w:rFonts w:ascii="Century Gothic" w:hAnsi="Century Gothic"/>
                <w:b/>
                <w:bCs/>
                <w:sz w:val="18"/>
                <w:szCs w:val="18"/>
                <w:lang w:val="en-GB"/>
              </w:rPr>
              <w:t>perma</w:t>
            </w:r>
            <w:r w:rsidR="00E441D6" w:rsidRPr="00692708">
              <w:rPr>
                <w:rFonts w:ascii="Century Gothic" w:hAnsi="Century Gothic"/>
                <w:b/>
                <w:bCs/>
                <w:sz w:val="18"/>
                <w:szCs w:val="18"/>
                <w:lang w:val="en-GB"/>
              </w:rPr>
              <w:t>nently or indefinitely</w:t>
            </w:r>
            <w:r w:rsidR="00E441D6">
              <w:rPr>
                <w:rFonts w:ascii="Century Gothic" w:hAnsi="Century Gothic"/>
                <w:bCs/>
                <w:sz w:val="18"/>
                <w:szCs w:val="18"/>
                <w:lang w:val="en-GB"/>
              </w:rPr>
              <w:t xml:space="preserve"> in Malta, that is, it is not time bound.</w:t>
            </w:r>
            <w:r>
              <w:rPr>
                <w:rFonts w:ascii="Century Gothic" w:hAnsi="Century Gothic"/>
                <w:bCs/>
                <w:sz w:val="18"/>
                <w:szCs w:val="18"/>
                <w:lang w:val="en-GB"/>
              </w:rPr>
              <w:t xml:space="preserve"> </w:t>
            </w:r>
          </w:p>
          <w:p w14:paraId="0F120BC4" w14:textId="77777777" w:rsidR="007726FE" w:rsidRPr="00692708" w:rsidRDefault="007726FE" w:rsidP="007726FE">
            <w:pPr>
              <w:jc w:val="both"/>
              <w:rPr>
                <w:rFonts w:ascii="Century Gothic" w:hAnsi="Century Gothic"/>
                <w:bCs/>
                <w:sz w:val="18"/>
                <w:szCs w:val="18"/>
                <w:lang w:val="en-US"/>
              </w:rPr>
            </w:pPr>
          </w:p>
          <w:p w14:paraId="64A92A32" w14:textId="045982AF" w:rsidR="00947E0C" w:rsidRPr="00523824" w:rsidRDefault="007726FE" w:rsidP="00A94173">
            <w:pPr>
              <w:jc w:val="both"/>
              <w:rPr>
                <w:rFonts w:ascii="Century Gothic" w:hAnsi="Century Gothic"/>
                <w:bCs/>
                <w:sz w:val="18"/>
                <w:szCs w:val="18"/>
                <w:lang w:val="en-GB"/>
              </w:rPr>
            </w:pPr>
            <w:r w:rsidRPr="007726FE">
              <w:rPr>
                <w:rFonts w:ascii="Century Gothic" w:hAnsi="Century Gothic"/>
                <w:bCs/>
                <w:sz w:val="18"/>
                <w:szCs w:val="18"/>
                <w:lang w:val="en-GB"/>
              </w:rPr>
              <w:t xml:space="preserve">The application for the e-Residence Card entails enrolment of biometric data and hence all applicants </w:t>
            </w:r>
            <w:r w:rsidRPr="007726FE">
              <w:rPr>
                <w:rFonts w:ascii="Century Gothic" w:hAnsi="Century Gothic"/>
                <w:b/>
                <w:bCs/>
                <w:sz w:val="18"/>
                <w:szCs w:val="18"/>
                <w:lang w:val="en-GB"/>
              </w:rPr>
              <w:t xml:space="preserve">must have entered Malta at least once </w:t>
            </w:r>
            <w:r w:rsidRPr="007726FE">
              <w:rPr>
                <w:rFonts w:ascii="Century Gothic" w:hAnsi="Century Gothic"/>
                <w:bCs/>
                <w:sz w:val="18"/>
                <w:szCs w:val="18"/>
                <w:lang w:val="en-GB"/>
              </w:rPr>
              <w:t xml:space="preserve">prior to becoming </w:t>
            </w:r>
            <w:r>
              <w:rPr>
                <w:rFonts w:ascii="Century Gothic" w:hAnsi="Century Gothic"/>
                <w:bCs/>
                <w:sz w:val="18"/>
                <w:szCs w:val="18"/>
                <w:lang w:val="en-GB"/>
              </w:rPr>
              <w:t xml:space="preserve">MRVP </w:t>
            </w:r>
            <w:r w:rsidRPr="007726FE">
              <w:rPr>
                <w:rFonts w:ascii="Century Gothic" w:hAnsi="Century Gothic"/>
                <w:bCs/>
                <w:sz w:val="18"/>
                <w:szCs w:val="18"/>
                <w:lang w:val="en-GB"/>
              </w:rPr>
              <w:t xml:space="preserve">beneficiaries. </w:t>
            </w:r>
          </w:p>
        </w:tc>
        <w:tc>
          <w:tcPr>
            <w:tcW w:w="1220" w:type="pct"/>
            <w:tcBorders>
              <w:bottom w:val="single" w:sz="8" w:space="0" w:color="FFFFFF" w:themeColor="background1"/>
            </w:tcBorders>
            <w:shd w:val="clear" w:color="auto" w:fill="F2F2F2" w:themeFill="background1" w:themeFillShade="F2"/>
          </w:tcPr>
          <w:p w14:paraId="48C4AB3D" w14:textId="77777777" w:rsidR="00947E0C" w:rsidRDefault="00947E0C" w:rsidP="00A94173">
            <w:pPr>
              <w:jc w:val="both"/>
              <w:rPr>
                <w:rFonts w:ascii="Century Gothic" w:hAnsi="Century Gothic"/>
                <w:bCs/>
                <w:sz w:val="18"/>
                <w:szCs w:val="18"/>
                <w:lang w:val="en-GB"/>
              </w:rPr>
            </w:pPr>
            <w:r>
              <w:rPr>
                <w:rFonts w:ascii="Century Gothic" w:hAnsi="Century Gothic"/>
                <w:bCs/>
                <w:sz w:val="18"/>
                <w:szCs w:val="18"/>
                <w:lang w:val="en-GB"/>
              </w:rPr>
              <w:t xml:space="preserve">The national law does not foresee checks on the fulfilment of the residence criterion beyond the requirement to hold property in Malta for at least five years from the issuance of the certificate. </w:t>
            </w:r>
            <w:r w:rsidRPr="00A934DA">
              <w:rPr>
                <w:rFonts w:ascii="Century Gothic" w:hAnsi="Century Gothic"/>
                <w:bCs/>
                <w:sz w:val="18"/>
                <w:szCs w:val="18"/>
                <w:lang w:val="en-GB"/>
              </w:rPr>
              <w:t>This would presumably be one of the factors checked as part of the annual monitoring in the first five years and every five years thereafter (Regulation 4(a) of LN 288/2015).</w:t>
            </w:r>
          </w:p>
          <w:p w14:paraId="3BEA0C4A" w14:textId="77777777" w:rsidR="00947E0C" w:rsidRDefault="00947E0C" w:rsidP="00A94173">
            <w:pPr>
              <w:jc w:val="both"/>
              <w:rPr>
                <w:rFonts w:ascii="Century Gothic" w:hAnsi="Century Gothic"/>
                <w:bCs/>
                <w:sz w:val="18"/>
                <w:szCs w:val="18"/>
                <w:lang w:val="en-GB"/>
              </w:rPr>
            </w:pPr>
          </w:p>
          <w:p w14:paraId="1CE65784" w14:textId="14BE24AB" w:rsidR="00947E0C" w:rsidRPr="00523824" w:rsidRDefault="00947E0C" w:rsidP="000C5989">
            <w:pPr>
              <w:jc w:val="both"/>
              <w:rPr>
                <w:rFonts w:ascii="Century Gothic" w:hAnsi="Century Gothic"/>
                <w:bCs/>
                <w:sz w:val="18"/>
                <w:szCs w:val="18"/>
                <w:lang w:val="en-GB"/>
              </w:rPr>
            </w:pPr>
            <w:r>
              <w:rPr>
                <w:rFonts w:ascii="Century Gothic" w:hAnsi="Century Gothic"/>
                <w:bCs/>
                <w:sz w:val="18"/>
                <w:szCs w:val="18"/>
                <w:lang w:val="en-GB"/>
              </w:rPr>
              <w:t xml:space="preserve">Title to a qualifying property must be presented following the MRVA’s written determination to issue a residence certificate and prior to the actual issuance of the certificate. </w:t>
            </w:r>
            <w:r w:rsidRPr="002A5F22">
              <w:rPr>
                <w:rFonts w:ascii="Century Gothic" w:hAnsi="Century Gothic"/>
                <w:bCs/>
                <w:sz w:val="18"/>
                <w:szCs w:val="18"/>
                <w:lang w:val="en-GB"/>
              </w:rPr>
              <w:t xml:space="preserve">However, there is nothing requiring the </w:t>
            </w:r>
            <w:r w:rsidR="002A5F22" w:rsidRPr="00692708">
              <w:rPr>
                <w:rFonts w:ascii="Century Gothic" w:hAnsi="Century Gothic"/>
                <w:bCs/>
                <w:sz w:val="18"/>
                <w:szCs w:val="18"/>
                <w:lang w:val="en-GB"/>
              </w:rPr>
              <w:t xml:space="preserve">continuous </w:t>
            </w:r>
            <w:r w:rsidRPr="002A5F22">
              <w:rPr>
                <w:rFonts w:ascii="Century Gothic" w:hAnsi="Century Gothic"/>
                <w:bCs/>
                <w:sz w:val="18"/>
                <w:szCs w:val="18"/>
                <w:lang w:val="en-GB"/>
              </w:rPr>
              <w:t>physical presence of the investor in Malta</w:t>
            </w:r>
            <w:r w:rsidR="002A5F22" w:rsidRPr="00692708">
              <w:rPr>
                <w:rFonts w:ascii="Century Gothic" w:hAnsi="Century Gothic"/>
                <w:bCs/>
                <w:sz w:val="18"/>
                <w:szCs w:val="18"/>
                <w:lang w:val="en-GB"/>
              </w:rPr>
              <w:t xml:space="preserve">. The investor needs to be physically present </w:t>
            </w:r>
            <w:r w:rsidR="000C5989">
              <w:rPr>
                <w:rFonts w:ascii="Century Gothic" w:hAnsi="Century Gothic"/>
                <w:bCs/>
                <w:sz w:val="18"/>
                <w:szCs w:val="18"/>
                <w:lang w:val="en-GB"/>
              </w:rPr>
              <w:t>at least</w:t>
            </w:r>
            <w:r w:rsidR="002A5F22">
              <w:rPr>
                <w:rFonts w:ascii="Century Gothic" w:hAnsi="Century Gothic"/>
                <w:bCs/>
                <w:sz w:val="18"/>
                <w:szCs w:val="18"/>
                <w:lang w:val="en-GB"/>
              </w:rPr>
              <w:t xml:space="preserve"> once </w:t>
            </w:r>
            <w:r w:rsidR="002A5F22" w:rsidRPr="00692708">
              <w:rPr>
                <w:rFonts w:ascii="Century Gothic" w:hAnsi="Century Gothic"/>
                <w:bCs/>
                <w:sz w:val="18"/>
                <w:szCs w:val="18"/>
                <w:lang w:val="en-GB"/>
              </w:rPr>
              <w:t xml:space="preserve">to enrol biometric data for an e-Residence </w:t>
            </w:r>
            <w:r w:rsidR="00692708">
              <w:rPr>
                <w:rFonts w:ascii="Century Gothic" w:hAnsi="Century Gothic"/>
                <w:bCs/>
                <w:sz w:val="18"/>
                <w:szCs w:val="18"/>
                <w:lang w:val="en-GB"/>
              </w:rPr>
              <w:t>C</w:t>
            </w:r>
            <w:r w:rsidR="002A5F22" w:rsidRPr="00692708">
              <w:rPr>
                <w:rFonts w:ascii="Century Gothic" w:hAnsi="Century Gothic"/>
                <w:bCs/>
                <w:sz w:val="18"/>
                <w:szCs w:val="18"/>
                <w:lang w:val="en-GB"/>
              </w:rPr>
              <w:t>ard</w:t>
            </w:r>
            <w:r w:rsidR="00692708">
              <w:rPr>
                <w:rFonts w:ascii="Century Gothic" w:hAnsi="Century Gothic"/>
                <w:bCs/>
                <w:sz w:val="18"/>
                <w:szCs w:val="18"/>
                <w:lang w:val="en-GB"/>
              </w:rPr>
              <w:t>.</w:t>
            </w:r>
          </w:p>
        </w:tc>
        <w:tc>
          <w:tcPr>
            <w:tcW w:w="662" w:type="pct"/>
            <w:tcBorders>
              <w:bottom w:val="single" w:sz="8" w:space="0" w:color="FFFFFF" w:themeColor="background1"/>
            </w:tcBorders>
            <w:shd w:val="clear" w:color="auto" w:fill="F2F2F2" w:themeFill="background1" w:themeFillShade="F2"/>
          </w:tcPr>
          <w:p w14:paraId="1605606A" w14:textId="780DD4D9" w:rsidR="00947E0C" w:rsidRPr="00523824" w:rsidRDefault="002A5F22" w:rsidP="00A94173">
            <w:pPr>
              <w:jc w:val="both"/>
              <w:rPr>
                <w:rFonts w:ascii="Century Gothic" w:hAnsi="Century Gothic"/>
                <w:bCs/>
                <w:sz w:val="18"/>
                <w:szCs w:val="18"/>
                <w:lang w:val="en-GB"/>
              </w:rPr>
            </w:pPr>
            <w:r>
              <w:rPr>
                <w:rFonts w:ascii="Century Gothic" w:hAnsi="Century Gothic"/>
                <w:bCs/>
                <w:sz w:val="18"/>
                <w:szCs w:val="18"/>
                <w:lang w:val="en-GB"/>
              </w:rPr>
              <w:t xml:space="preserve">The </w:t>
            </w:r>
            <w:r w:rsidRPr="00692708">
              <w:rPr>
                <w:rFonts w:ascii="Century Gothic" w:hAnsi="Century Gothic"/>
                <w:b/>
                <w:bCs/>
                <w:sz w:val="18"/>
                <w:szCs w:val="18"/>
                <w:lang w:val="en-GB"/>
              </w:rPr>
              <w:t>processing of applications</w:t>
            </w:r>
            <w:r>
              <w:rPr>
                <w:rFonts w:ascii="Century Gothic" w:hAnsi="Century Gothic"/>
                <w:bCs/>
                <w:sz w:val="18"/>
                <w:szCs w:val="18"/>
                <w:lang w:val="en-GB"/>
              </w:rPr>
              <w:t xml:space="preserve"> is handled by MRVA. </w:t>
            </w:r>
            <w:r w:rsidR="00947E0C">
              <w:rPr>
                <w:rFonts w:ascii="Century Gothic" w:hAnsi="Century Gothic"/>
                <w:bCs/>
                <w:sz w:val="18"/>
                <w:szCs w:val="18"/>
                <w:lang w:val="en-GB"/>
              </w:rPr>
              <w:t>The competent authorities and non-public bodies involved are described in Section I and points 1.1, 1.2 and 1.3 of Section II above.</w:t>
            </w:r>
            <w:r>
              <w:rPr>
                <w:rFonts w:ascii="Century Gothic" w:hAnsi="Century Gothic"/>
                <w:bCs/>
                <w:sz w:val="18"/>
                <w:szCs w:val="18"/>
                <w:lang w:val="en-GB"/>
              </w:rPr>
              <w:t xml:space="preserve"> </w:t>
            </w:r>
            <w:r w:rsidR="00E441D6">
              <w:rPr>
                <w:rFonts w:ascii="Century Gothic" w:hAnsi="Century Gothic"/>
                <w:bCs/>
                <w:sz w:val="18"/>
                <w:szCs w:val="18"/>
                <w:lang w:val="en-GB"/>
              </w:rPr>
              <w:t xml:space="preserve">The competent authority for the </w:t>
            </w:r>
            <w:r w:rsidR="00E441D6" w:rsidRPr="00692708">
              <w:rPr>
                <w:rFonts w:ascii="Century Gothic" w:hAnsi="Century Gothic"/>
                <w:b/>
                <w:bCs/>
                <w:sz w:val="18"/>
                <w:szCs w:val="18"/>
                <w:lang w:val="en-GB"/>
              </w:rPr>
              <w:t>issuance</w:t>
            </w:r>
            <w:r w:rsidR="00E441D6">
              <w:rPr>
                <w:rFonts w:ascii="Century Gothic" w:hAnsi="Century Gothic"/>
                <w:bCs/>
                <w:sz w:val="18"/>
                <w:szCs w:val="18"/>
                <w:lang w:val="en-GB"/>
              </w:rPr>
              <w:t xml:space="preserve"> of Residence Cards is Identity Malta. The applicant is represented through the </w:t>
            </w:r>
            <w:r w:rsidR="00FC44CA">
              <w:rPr>
                <w:rFonts w:ascii="Century Gothic" w:hAnsi="Century Gothic"/>
                <w:bCs/>
                <w:sz w:val="18"/>
                <w:szCs w:val="18"/>
                <w:lang w:val="en-GB"/>
              </w:rPr>
              <w:t xml:space="preserve">approved </w:t>
            </w:r>
            <w:r w:rsidR="00E441D6">
              <w:rPr>
                <w:rFonts w:ascii="Century Gothic" w:hAnsi="Century Gothic"/>
                <w:bCs/>
                <w:sz w:val="18"/>
                <w:szCs w:val="18"/>
                <w:lang w:val="en-GB"/>
              </w:rPr>
              <w:t>agent in the application process for a Residence Card.</w:t>
            </w:r>
          </w:p>
        </w:tc>
        <w:tc>
          <w:tcPr>
            <w:tcW w:w="1647" w:type="pct"/>
            <w:tcBorders>
              <w:bottom w:val="single" w:sz="8" w:space="0" w:color="FFFFFF" w:themeColor="background1"/>
            </w:tcBorders>
            <w:shd w:val="clear" w:color="auto" w:fill="F2F2F2" w:themeFill="background1" w:themeFillShade="F2"/>
          </w:tcPr>
          <w:p w14:paraId="206FEC8E" w14:textId="06EE7F6A" w:rsidR="00947E0C" w:rsidRDefault="00947E0C" w:rsidP="00A94173">
            <w:pPr>
              <w:jc w:val="both"/>
              <w:rPr>
                <w:rFonts w:ascii="Century Gothic" w:hAnsi="Century Gothic"/>
                <w:bCs/>
                <w:sz w:val="18"/>
                <w:szCs w:val="18"/>
                <w:lang w:val="en-GB"/>
              </w:rPr>
            </w:pPr>
            <w:r w:rsidRPr="00CE0FFD">
              <w:rPr>
                <w:rFonts w:ascii="Century Gothic" w:hAnsi="Century Gothic"/>
                <w:bCs/>
                <w:sz w:val="18"/>
                <w:szCs w:val="18"/>
                <w:lang w:val="en-GB"/>
              </w:rPr>
              <w:t xml:space="preserve">The certificate (residence permit) granted under the MRVP has </w:t>
            </w:r>
            <w:r w:rsidRPr="00692708">
              <w:rPr>
                <w:rFonts w:ascii="Century Gothic" w:hAnsi="Century Gothic"/>
                <w:b/>
                <w:bCs/>
                <w:sz w:val="18"/>
                <w:szCs w:val="18"/>
                <w:lang w:val="en-GB"/>
              </w:rPr>
              <w:t>no expiry date</w:t>
            </w:r>
            <w:r w:rsidRPr="00CE0FFD">
              <w:rPr>
                <w:rFonts w:ascii="Century Gothic" w:hAnsi="Century Gothic"/>
                <w:bCs/>
                <w:sz w:val="18"/>
                <w:szCs w:val="18"/>
                <w:lang w:val="en-GB"/>
              </w:rPr>
              <w:t xml:space="preserve">. </w:t>
            </w:r>
            <w:r w:rsidR="00FA5334">
              <w:rPr>
                <w:rFonts w:ascii="Century Gothic" w:hAnsi="Century Gothic"/>
                <w:bCs/>
                <w:sz w:val="18"/>
                <w:szCs w:val="18"/>
                <w:lang w:val="en-GB"/>
              </w:rPr>
              <w:t>T</w:t>
            </w:r>
            <w:r w:rsidR="00E441D6">
              <w:rPr>
                <w:rFonts w:ascii="Century Gothic" w:hAnsi="Century Gothic"/>
                <w:bCs/>
                <w:sz w:val="18"/>
                <w:szCs w:val="18"/>
                <w:lang w:val="en-GB"/>
              </w:rPr>
              <w:t xml:space="preserve">he residence permit is permanent, but the </w:t>
            </w:r>
            <w:r w:rsidRPr="002A5F22">
              <w:rPr>
                <w:rFonts w:ascii="Century Gothic" w:hAnsi="Century Gothic"/>
                <w:bCs/>
                <w:sz w:val="18"/>
                <w:szCs w:val="18"/>
                <w:lang w:val="en-GB"/>
              </w:rPr>
              <w:t xml:space="preserve">Residence Card is </w:t>
            </w:r>
            <w:r w:rsidRPr="00692708">
              <w:rPr>
                <w:rFonts w:ascii="Century Gothic" w:hAnsi="Century Gothic"/>
                <w:b/>
                <w:bCs/>
                <w:sz w:val="18"/>
                <w:szCs w:val="18"/>
                <w:lang w:val="en-GB"/>
              </w:rPr>
              <w:t>renewed every five years</w:t>
            </w:r>
            <w:r w:rsidRPr="002A5F22">
              <w:rPr>
                <w:rFonts w:ascii="Century Gothic" w:hAnsi="Century Gothic"/>
                <w:bCs/>
                <w:sz w:val="18"/>
                <w:szCs w:val="18"/>
                <w:lang w:val="en-GB"/>
              </w:rPr>
              <w:t>. To renew the Residence Card, each applicant over the age of 14 needs to have their biometric data taken in Malta. Each applicant is subject to a Residence Card renewal fee of EUR 27.50.</w:t>
            </w:r>
            <w:r w:rsidR="00E441D6" w:rsidRPr="002A5F22">
              <w:rPr>
                <w:rStyle w:val="FootnoteReference"/>
                <w:rFonts w:ascii="Century Gothic" w:hAnsi="Century Gothic"/>
                <w:bCs/>
                <w:sz w:val="18"/>
                <w:szCs w:val="18"/>
                <w:lang w:val="en-GB"/>
              </w:rPr>
              <w:footnoteReference w:id="127"/>
            </w:r>
            <w:r w:rsidRPr="00F70A9B">
              <w:rPr>
                <w:rFonts w:ascii="Century Gothic" w:hAnsi="Century Gothic"/>
                <w:bCs/>
                <w:sz w:val="18"/>
                <w:szCs w:val="18"/>
                <w:lang w:val="en-GB"/>
              </w:rPr>
              <w:t xml:space="preserve"> </w:t>
            </w:r>
          </w:p>
          <w:p w14:paraId="00D2D483" w14:textId="77777777" w:rsidR="00947E0C" w:rsidRDefault="00947E0C" w:rsidP="00A94173">
            <w:pPr>
              <w:jc w:val="both"/>
              <w:rPr>
                <w:rFonts w:ascii="Century Gothic" w:hAnsi="Century Gothic"/>
                <w:bCs/>
                <w:sz w:val="18"/>
                <w:szCs w:val="18"/>
                <w:lang w:val="en-GB"/>
              </w:rPr>
            </w:pPr>
          </w:p>
          <w:p w14:paraId="7C8BC4BB" w14:textId="33955FE4" w:rsidR="002A5F22" w:rsidRDefault="00947E0C" w:rsidP="00A94173">
            <w:pPr>
              <w:jc w:val="both"/>
              <w:rPr>
                <w:rFonts w:ascii="Century Gothic" w:hAnsi="Century Gothic"/>
                <w:bCs/>
                <w:sz w:val="18"/>
                <w:szCs w:val="18"/>
                <w:lang w:val="en-GB"/>
              </w:rPr>
            </w:pPr>
            <w:r w:rsidRPr="00F70A9B">
              <w:rPr>
                <w:rFonts w:ascii="Century Gothic" w:hAnsi="Century Gothic"/>
                <w:bCs/>
                <w:sz w:val="18"/>
                <w:szCs w:val="18"/>
                <w:lang w:val="en-GB"/>
              </w:rPr>
              <w:t>Renewals are handled by approved agents</w:t>
            </w:r>
            <w:r>
              <w:rPr>
                <w:rFonts w:ascii="Century Gothic" w:hAnsi="Century Gothic"/>
                <w:bCs/>
                <w:sz w:val="18"/>
                <w:szCs w:val="18"/>
                <w:lang w:val="en-GB"/>
              </w:rPr>
              <w:t xml:space="preserve"> or accredited persons</w:t>
            </w:r>
            <w:r w:rsidRPr="00F70A9B">
              <w:rPr>
                <w:rFonts w:ascii="Century Gothic" w:hAnsi="Century Gothic"/>
                <w:bCs/>
                <w:sz w:val="18"/>
                <w:szCs w:val="18"/>
                <w:lang w:val="en-GB"/>
              </w:rPr>
              <w:t xml:space="preserve">. </w:t>
            </w:r>
            <w:r w:rsidR="000C5989">
              <w:rPr>
                <w:rFonts w:ascii="Century Gothic" w:hAnsi="Century Gothic"/>
                <w:bCs/>
                <w:sz w:val="18"/>
                <w:szCs w:val="18"/>
                <w:lang w:val="en-GB"/>
              </w:rPr>
              <w:t xml:space="preserve"> To renew a residence card after five years, the applicant is bound to submit annual compliance forms (five forms, one for each year since the residence certificate was issued)</w:t>
            </w:r>
            <w:r w:rsidR="00692708">
              <w:rPr>
                <w:rFonts w:ascii="Century Gothic" w:hAnsi="Century Gothic"/>
                <w:bCs/>
                <w:sz w:val="18"/>
                <w:szCs w:val="18"/>
                <w:lang w:val="en-GB"/>
              </w:rPr>
              <w:t>.</w:t>
            </w:r>
            <w:r w:rsidR="000C5989" w:rsidRPr="002A5F22">
              <w:rPr>
                <w:rStyle w:val="FootnoteReference"/>
                <w:rFonts w:ascii="Century Gothic" w:hAnsi="Century Gothic"/>
                <w:bCs/>
                <w:sz w:val="18"/>
                <w:szCs w:val="18"/>
                <w:lang w:val="en-GB"/>
              </w:rPr>
              <w:footnoteReference w:id="128"/>
            </w:r>
            <w:r w:rsidR="00692708">
              <w:rPr>
                <w:rFonts w:ascii="Century Gothic" w:hAnsi="Century Gothic"/>
                <w:bCs/>
                <w:sz w:val="18"/>
                <w:szCs w:val="18"/>
                <w:lang w:val="en-GB"/>
              </w:rPr>
              <w:t xml:space="preserve"> For further information see point 2 above.</w:t>
            </w:r>
          </w:p>
          <w:p w14:paraId="19073A37" w14:textId="77777777" w:rsidR="002A5F22" w:rsidRDefault="002A5F22" w:rsidP="00A94173">
            <w:pPr>
              <w:jc w:val="both"/>
              <w:rPr>
                <w:rFonts w:ascii="Century Gothic" w:hAnsi="Century Gothic"/>
                <w:bCs/>
                <w:sz w:val="18"/>
                <w:szCs w:val="18"/>
                <w:lang w:val="en-GB"/>
              </w:rPr>
            </w:pPr>
          </w:p>
          <w:p w14:paraId="332F5FA9" w14:textId="1717CB20" w:rsidR="00947E0C" w:rsidRPr="00523824" w:rsidRDefault="000C5989" w:rsidP="000C5989">
            <w:pPr>
              <w:jc w:val="both"/>
              <w:rPr>
                <w:rFonts w:ascii="Century Gothic" w:hAnsi="Century Gothic"/>
                <w:bCs/>
                <w:sz w:val="18"/>
                <w:szCs w:val="18"/>
                <w:lang w:val="en-GB"/>
              </w:rPr>
            </w:pPr>
            <w:r w:rsidRPr="000C5989">
              <w:rPr>
                <w:rFonts w:ascii="Century Gothic" w:hAnsi="Century Gothic"/>
                <w:bCs/>
                <w:sz w:val="18"/>
                <w:szCs w:val="18"/>
                <w:lang w:val="en-GB"/>
              </w:rPr>
              <w:t xml:space="preserve">After the first </w:t>
            </w:r>
            <w:r w:rsidR="00692708">
              <w:rPr>
                <w:rFonts w:ascii="Century Gothic" w:hAnsi="Century Gothic"/>
                <w:bCs/>
                <w:sz w:val="18"/>
                <w:szCs w:val="18"/>
                <w:lang w:val="en-GB"/>
              </w:rPr>
              <w:t>five</w:t>
            </w:r>
            <w:r w:rsidRPr="000C5989">
              <w:rPr>
                <w:rFonts w:ascii="Century Gothic" w:hAnsi="Century Gothic"/>
                <w:bCs/>
                <w:sz w:val="18"/>
                <w:szCs w:val="18"/>
                <w:lang w:val="en-GB"/>
              </w:rPr>
              <w:t xml:space="preserve"> year</w:t>
            </w:r>
            <w:r>
              <w:rPr>
                <w:rFonts w:ascii="Century Gothic" w:hAnsi="Century Gothic"/>
                <w:bCs/>
                <w:sz w:val="18"/>
                <w:szCs w:val="18"/>
                <w:lang w:val="en-GB"/>
              </w:rPr>
              <w:t>s</w:t>
            </w:r>
            <w:r w:rsidRPr="000C5989">
              <w:rPr>
                <w:rFonts w:ascii="Century Gothic" w:hAnsi="Century Gothic"/>
                <w:bCs/>
                <w:sz w:val="18"/>
                <w:szCs w:val="18"/>
                <w:lang w:val="en-GB"/>
              </w:rPr>
              <w:t xml:space="preserve"> the</w:t>
            </w:r>
            <w:r>
              <w:rPr>
                <w:rFonts w:ascii="Century Gothic" w:hAnsi="Century Gothic"/>
                <w:bCs/>
                <w:sz w:val="18"/>
                <w:szCs w:val="18"/>
                <w:lang w:val="en-GB"/>
              </w:rPr>
              <w:t xml:space="preserve"> </w:t>
            </w:r>
            <w:r w:rsidRPr="000C5989">
              <w:rPr>
                <w:rFonts w:ascii="Century Gothic" w:hAnsi="Century Gothic"/>
                <w:bCs/>
                <w:sz w:val="18"/>
                <w:szCs w:val="18"/>
                <w:lang w:val="en-GB"/>
              </w:rPr>
              <w:t xml:space="preserve">official compliance form is </w:t>
            </w:r>
            <w:r>
              <w:rPr>
                <w:rFonts w:ascii="Century Gothic" w:hAnsi="Century Gothic"/>
                <w:bCs/>
                <w:sz w:val="18"/>
                <w:szCs w:val="18"/>
                <w:lang w:val="en-GB"/>
              </w:rPr>
              <w:t xml:space="preserve">submitted every </w:t>
            </w:r>
            <w:r w:rsidR="00692708">
              <w:rPr>
                <w:rFonts w:ascii="Century Gothic" w:hAnsi="Century Gothic"/>
                <w:bCs/>
                <w:sz w:val="18"/>
                <w:szCs w:val="18"/>
                <w:lang w:val="en-GB"/>
              </w:rPr>
              <w:t xml:space="preserve">five </w:t>
            </w:r>
            <w:r>
              <w:rPr>
                <w:rFonts w:ascii="Century Gothic" w:hAnsi="Century Gothic"/>
                <w:bCs/>
                <w:sz w:val="18"/>
                <w:szCs w:val="18"/>
                <w:lang w:val="en-GB"/>
              </w:rPr>
              <w:t>years (instead of each year). Additionally, a</w:t>
            </w:r>
            <w:r w:rsidR="00947E0C" w:rsidRPr="00F70A9B">
              <w:rPr>
                <w:rFonts w:ascii="Century Gothic" w:hAnsi="Century Gothic"/>
                <w:bCs/>
                <w:sz w:val="18"/>
                <w:szCs w:val="18"/>
                <w:lang w:val="en-GB"/>
              </w:rPr>
              <w:t>fter five years, beneficiaries are no longer bound to retain the qualifying investment, qualifying property or meet the capital income requirement. Beneficiaries need to provide Identity Malta with a residential address in Malta.</w:t>
            </w:r>
            <w:r w:rsidR="00947E0C">
              <w:rPr>
                <w:rStyle w:val="FootnoteReference"/>
                <w:rFonts w:ascii="Century Gothic" w:hAnsi="Century Gothic"/>
                <w:bCs/>
                <w:sz w:val="18"/>
                <w:szCs w:val="18"/>
                <w:lang w:val="en-GB"/>
              </w:rPr>
              <w:footnoteReference w:id="129"/>
            </w:r>
          </w:p>
        </w:tc>
      </w:tr>
      <w:tr w:rsidR="00FA2A6A" w:rsidRPr="00FA2A6A" w14:paraId="2DF29311" w14:textId="77777777" w:rsidTr="00C83D3F">
        <w:tc>
          <w:tcPr>
            <w:tcW w:w="5000" w:type="pct"/>
            <w:gridSpan w:val="4"/>
            <w:shd w:val="clear" w:color="auto" w:fill="B6DDE8" w:themeFill="accent5" w:themeFillTint="66"/>
          </w:tcPr>
          <w:p w14:paraId="7F8F0CFF" w14:textId="53BA2E61" w:rsidR="00FA2A6A" w:rsidRPr="00FA2A6A" w:rsidRDefault="00FA2A6A" w:rsidP="00FA5334">
            <w:pPr>
              <w:jc w:val="both"/>
              <w:rPr>
                <w:rFonts w:ascii="Century Gothic" w:hAnsi="Century Gothic"/>
                <w:b/>
                <w:bCs/>
                <w:sz w:val="18"/>
                <w:szCs w:val="18"/>
                <w:lang w:val="en-GB"/>
              </w:rPr>
            </w:pPr>
            <w:r w:rsidRPr="00FA2A6A">
              <w:rPr>
                <w:rFonts w:ascii="Century Gothic" w:hAnsi="Century Gothic"/>
                <w:b/>
                <w:bCs/>
                <w:sz w:val="18"/>
                <w:szCs w:val="18"/>
                <w:lang w:val="en-GB"/>
              </w:rPr>
              <w:t>GRP</w:t>
            </w:r>
          </w:p>
        </w:tc>
      </w:tr>
      <w:tr w:rsidR="00FA5334" w:rsidRPr="006B5ED7" w14:paraId="7F23AB75" w14:textId="77777777" w:rsidTr="00FA5334">
        <w:tc>
          <w:tcPr>
            <w:tcW w:w="1471" w:type="pct"/>
            <w:shd w:val="clear" w:color="auto" w:fill="F2F2F2" w:themeFill="background1" w:themeFillShade="F2"/>
          </w:tcPr>
          <w:p w14:paraId="0C397B49" w14:textId="77777777" w:rsidR="00FA2A6A" w:rsidRDefault="00FA2A6A" w:rsidP="00FA5334">
            <w:pPr>
              <w:jc w:val="both"/>
              <w:rPr>
                <w:rFonts w:ascii="Century Gothic" w:hAnsi="Century Gothic"/>
                <w:bCs/>
                <w:sz w:val="18"/>
                <w:szCs w:val="18"/>
                <w:lang w:val="en-GB"/>
              </w:rPr>
            </w:pPr>
            <w:r>
              <w:rPr>
                <w:rFonts w:ascii="Century Gothic" w:hAnsi="Century Gothic"/>
                <w:bCs/>
                <w:sz w:val="18"/>
                <w:szCs w:val="18"/>
                <w:lang w:val="en-GB"/>
              </w:rPr>
              <w:t xml:space="preserve">LN 167/2013 makes no mention of a residence permit. The ‘rights acquired under this law’ are defined as ‘the right to pay tax </w:t>
            </w:r>
            <w:r>
              <w:rPr>
                <w:rFonts w:ascii="Century Gothic" w:hAnsi="Century Gothic"/>
                <w:bCs/>
                <w:sz w:val="18"/>
                <w:szCs w:val="18"/>
                <w:lang w:val="en-GB"/>
              </w:rPr>
              <w:lastRenderedPageBreak/>
              <w:t>at the rate of tax contemplated in article 56(23) of the Act and these rules’ (Rule 2 of LN 167/2013).</w:t>
            </w:r>
          </w:p>
          <w:p w14:paraId="4597F387" w14:textId="77777777" w:rsidR="00FA2A6A" w:rsidRDefault="00FA2A6A" w:rsidP="00FA5334">
            <w:pPr>
              <w:jc w:val="both"/>
              <w:rPr>
                <w:rFonts w:ascii="Century Gothic" w:hAnsi="Century Gothic"/>
                <w:bCs/>
                <w:sz w:val="18"/>
                <w:szCs w:val="18"/>
                <w:lang w:val="en-GB"/>
              </w:rPr>
            </w:pPr>
          </w:p>
          <w:p w14:paraId="36124A5E" w14:textId="13730861" w:rsidR="00FA2A6A" w:rsidRDefault="00FA2A6A" w:rsidP="00FA5334">
            <w:pPr>
              <w:jc w:val="both"/>
              <w:rPr>
                <w:rFonts w:ascii="Century Gothic" w:hAnsi="Century Gothic"/>
                <w:bCs/>
                <w:sz w:val="18"/>
                <w:szCs w:val="18"/>
                <w:lang w:val="en-GB"/>
              </w:rPr>
            </w:pPr>
            <w:r>
              <w:rPr>
                <w:rFonts w:ascii="Century Gothic" w:hAnsi="Century Gothic"/>
                <w:bCs/>
                <w:sz w:val="18"/>
                <w:szCs w:val="18"/>
                <w:lang w:val="en-GB"/>
              </w:rPr>
              <w:t xml:space="preserve">One of the requirements the beneficiary must satisfy for the purposes of the GRP is to hold a </w:t>
            </w:r>
            <w:r w:rsidRPr="00C83D3F">
              <w:rPr>
                <w:rFonts w:ascii="Century Gothic" w:hAnsi="Century Gothic"/>
                <w:b/>
                <w:bCs/>
                <w:sz w:val="18"/>
                <w:szCs w:val="18"/>
                <w:lang w:val="en-GB"/>
              </w:rPr>
              <w:t>‘qualifying property holding’</w:t>
            </w:r>
            <w:r>
              <w:rPr>
                <w:rFonts w:ascii="Century Gothic" w:hAnsi="Century Gothic"/>
                <w:bCs/>
                <w:sz w:val="18"/>
                <w:szCs w:val="18"/>
                <w:lang w:val="en-GB"/>
              </w:rPr>
              <w:t xml:space="preserve"> (Rule 4(c) of LN 167/2013). Rule 2 of LN 167/2013 defines ‘qualifying property holding’ as a holding which arises where the beneficiary either owns qualifying owned property or rents qualifying owned property as lessee </w:t>
            </w:r>
            <w:r>
              <w:rPr>
                <w:rFonts w:ascii="Century Gothic" w:hAnsi="Century Gothic"/>
                <w:b/>
                <w:bCs/>
                <w:sz w:val="18"/>
                <w:szCs w:val="18"/>
                <w:lang w:val="en-GB"/>
              </w:rPr>
              <w:t>and</w:t>
            </w:r>
            <w:r>
              <w:rPr>
                <w:rFonts w:ascii="Century Gothic" w:hAnsi="Century Gothic"/>
                <w:bCs/>
                <w:sz w:val="18"/>
                <w:szCs w:val="18"/>
                <w:lang w:val="en-GB"/>
              </w:rPr>
              <w:t xml:space="preserve"> in either case, </w:t>
            </w:r>
            <w:r w:rsidRPr="00C83D3F">
              <w:rPr>
                <w:rFonts w:ascii="Century Gothic" w:hAnsi="Century Gothic"/>
                <w:b/>
                <w:bCs/>
                <w:sz w:val="18"/>
                <w:szCs w:val="18"/>
                <w:lang w:val="en-GB"/>
              </w:rPr>
              <w:t>occupies such property as his primary residence</w:t>
            </w:r>
            <w:r>
              <w:rPr>
                <w:rFonts w:ascii="Century Gothic" w:hAnsi="Century Gothic"/>
                <w:bCs/>
                <w:sz w:val="18"/>
                <w:szCs w:val="18"/>
                <w:lang w:val="en-GB"/>
              </w:rPr>
              <w:t xml:space="preserve">. The persons who reside in the qualifying property must not be persons other than the beneficiary and his/her dependants or household staff. In addition, the Commissioner for Revenue must have been notified that the dependants or household staff will be residing in the property. </w:t>
            </w:r>
          </w:p>
          <w:p w14:paraId="3F151B0D" w14:textId="28CE543C" w:rsidR="00FA2A6A" w:rsidRDefault="00FA2A6A" w:rsidP="00FA5334">
            <w:pPr>
              <w:jc w:val="both"/>
              <w:rPr>
                <w:rFonts w:ascii="Century Gothic" w:hAnsi="Century Gothic"/>
                <w:bCs/>
                <w:sz w:val="18"/>
                <w:szCs w:val="18"/>
                <w:lang w:val="en-GB"/>
              </w:rPr>
            </w:pPr>
          </w:p>
          <w:p w14:paraId="0E8246F6" w14:textId="5BA31138" w:rsidR="00FA2A6A" w:rsidRPr="000D1C0D" w:rsidRDefault="00FA2A6A" w:rsidP="00FA5334">
            <w:pPr>
              <w:jc w:val="both"/>
              <w:rPr>
                <w:rFonts w:ascii="Century Gothic" w:hAnsi="Century Gothic"/>
                <w:bCs/>
                <w:sz w:val="18"/>
                <w:szCs w:val="18"/>
                <w:lang w:val="en-GB"/>
              </w:rPr>
            </w:pPr>
            <w:r>
              <w:rPr>
                <w:rFonts w:ascii="Century Gothic" w:hAnsi="Century Gothic"/>
                <w:bCs/>
                <w:sz w:val="18"/>
                <w:szCs w:val="18"/>
                <w:lang w:val="en-GB"/>
              </w:rPr>
              <w:t xml:space="preserve">Rule 2 of LN 167/2013 defines </w:t>
            </w:r>
            <w:r w:rsidRPr="00C83D3F">
              <w:rPr>
                <w:rFonts w:ascii="Century Gothic" w:hAnsi="Century Gothic"/>
                <w:b/>
                <w:bCs/>
                <w:sz w:val="18"/>
                <w:szCs w:val="18"/>
                <w:lang w:val="en-GB"/>
              </w:rPr>
              <w:t>‘primary residence’</w:t>
            </w:r>
            <w:r>
              <w:rPr>
                <w:rFonts w:ascii="Century Gothic" w:hAnsi="Century Gothic"/>
                <w:bCs/>
                <w:sz w:val="18"/>
                <w:szCs w:val="18"/>
                <w:lang w:val="en-GB"/>
              </w:rPr>
              <w:t xml:space="preserve"> as 'the dwelling house in which a</w:t>
            </w:r>
            <w:r w:rsidR="003E57C3">
              <w:rPr>
                <w:rFonts w:ascii="Century Gothic" w:hAnsi="Century Gothic"/>
                <w:bCs/>
                <w:sz w:val="18"/>
                <w:szCs w:val="18"/>
                <w:lang w:val="en-GB"/>
              </w:rPr>
              <w:t>n individual habitually resides in as his principal place of abode worldwide’.</w:t>
            </w:r>
          </w:p>
          <w:p w14:paraId="6BB3AA40" w14:textId="2F05C121" w:rsidR="00863EC0" w:rsidRDefault="00863EC0" w:rsidP="00FA5334">
            <w:pPr>
              <w:jc w:val="both"/>
              <w:rPr>
                <w:rFonts w:ascii="Century Gothic" w:hAnsi="Century Gothic"/>
                <w:bCs/>
                <w:sz w:val="18"/>
                <w:szCs w:val="18"/>
                <w:lang w:val="en-GB"/>
              </w:rPr>
            </w:pPr>
          </w:p>
          <w:p w14:paraId="66975CF9" w14:textId="2098F920" w:rsidR="00863EC0" w:rsidRDefault="00863EC0" w:rsidP="00FA5334">
            <w:pPr>
              <w:jc w:val="both"/>
              <w:rPr>
                <w:rFonts w:ascii="Century Gothic" w:hAnsi="Century Gothic"/>
                <w:bCs/>
                <w:sz w:val="18"/>
                <w:szCs w:val="18"/>
                <w:lang w:val="en-GB"/>
              </w:rPr>
            </w:pPr>
            <w:r>
              <w:rPr>
                <w:rFonts w:ascii="Century Gothic" w:hAnsi="Century Gothic"/>
                <w:bCs/>
                <w:sz w:val="18"/>
                <w:szCs w:val="18"/>
                <w:lang w:val="en-GB"/>
              </w:rPr>
              <w:t xml:space="preserve">GRP beneficiaries may obtain a residence permit either through MRVP (information provided above) </w:t>
            </w:r>
            <w:r w:rsidRPr="00346D85">
              <w:rPr>
                <w:rFonts w:ascii="Century Gothic" w:hAnsi="Century Gothic"/>
                <w:bCs/>
                <w:sz w:val="18"/>
                <w:szCs w:val="18"/>
                <w:lang w:val="en-GB"/>
              </w:rPr>
              <w:t xml:space="preserve">or by applying for a </w:t>
            </w:r>
            <w:r w:rsidR="00556740" w:rsidRPr="00346D85">
              <w:rPr>
                <w:rFonts w:ascii="Century Gothic" w:hAnsi="Century Gothic"/>
                <w:bCs/>
                <w:sz w:val="18"/>
                <w:szCs w:val="18"/>
                <w:lang w:val="en-GB"/>
              </w:rPr>
              <w:t xml:space="preserve">uniform residence </w:t>
            </w:r>
            <w:r w:rsidRPr="00346D85">
              <w:rPr>
                <w:rFonts w:ascii="Century Gothic" w:hAnsi="Century Gothic"/>
                <w:bCs/>
                <w:sz w:val="18"/>
                <w:szCs w:val="18"/>
                <w:lang w:val="en-GB"/>
              </w:rPr>
              <w:t>permit</w:t>
            </w:r>
            <w:r w:rsidR="003A1151" w:rsidRPr="00346D85">
              <w:rPr>
                <w:rFonts w:ascii="Century Gothic" w:hAnsi="Century Gothic"/>
                <w:bCs/>
                <w:sz w:val="18"/>
                <w:szCs w:val="18"/>
                <w:lang w:val="en-GB"/>
              </w:rPr>
              <w:t>.</w:t>
            </w:r>
          </w:p>
          <w:p w14:paraId="59034982" w14:textId="143B64D5" w:rsidR="00863EC0" w:rsidRPr="00E34EC0" w:rsidRDefault="00863EC0" w:rsidP="00FA5334">
            <w:pPr>
              <w:jc w:val="both"/>
              <w:rPr>
                <w:rFonts w:ascii="Century Gothic" w:hAnsi="Century Gothic"/>
                <w:bCs/>
                <w:sz w:val="18"/>
                <w:szCs w:val="18"/>
                <w:lang w:val="en-GB"/>
              </w:rPr>
            </w:pPr>
          </w:p>
        </w:tc>
        <w:tc>
          <w:tcPr>
            <w:tcW w:w="1220" w:type="pct"/>
            <w:shd w:val="clear" w:color="auto" w:fill="F2F2F2" w:themeFill="background1" w:themeFillShade="F2"/>
          </w:tcPr>
          <w:p w14:paraId="22523D84" w14:textId="52175A04" w:rsidR="00C132B6" w:rsidRDefault="00443D35" w:rsidP="00FA5334">
            <w:pPr>
              <w:jc w:val="both"/>
              <w:rPr>
                <w:rFonts w:ascii="Century Gothic" w:hAnsi="Century Gothic"/>
                <w:bCs/>
                <w:sz w:val="18"/>
                <w:szCs w:val="18"/>
                <w:lang w:val="en-GB"/>
              </w:rPr>
            </w:pPr>
            <w:r>
              <w:rPr>
                <w:rFonts w:ascii="Century Gothic" w:hAnsi="Century Gothic"/>
                <w:bCs/>
                <w:sz w:val="18"/>
                <w:szCs w:val="18"/>
                <w:lang w:val="en-GB"/>
              </w:rPr>
              <w:lastRenderedPageBreak/>
              <w:t>The</w:t>
            </w:r>
            <w:r w:rsidR="003A1151" w:rsidRPr="00FA5334">
              <w:rPr>
                <w:rFonts w:ascii="Century Gothic" w:hAnsi="Century Gothic"/>
                <w:bCs/>
                <w:sz w:val="18"/>
                <w:szCs w:val="18"/>
                <w:lang w:val="en-GB"/>
              </w:rPr>
              <w:t xml:space="preserve"> requirement for a ‘qualifying property holding’ as explained in the previous column, presupposes that </w:t>
            </w:r>
            <w:r w:rsidR="003A1151" w:rsidRPr="00FA5334">
              <w:rPr>
                <w:rFonts w:ascii="Century Gothic" w:hAnsi="Century Gothic"/>
                <w:bCs/>
                <w:sz w:val="18"/>
                <w:szCs w:val="18"/>
                <w:lang w:val="en-GB"/>
              </w:rPr>
              <w:lastRenderedPageBreak/>
              <w:t>GRP beneficiaries have a right to reside in Malta.</w:t>
            </w:r>
            <w:r w:rsidR="00C132B6">
              <w:rPr>
                <w:rFonts w:ascii="Century Gothic" w:hAnsi="Century Gothic"/>
                <w:bCs/>
                <w:sz w:val="18"/>
                <w:szCs w:val="18"/>
                <w:lang w:val="en-GB"/>
              </w:rPr>
              <w:t xml:space="preserve"> </w:t>
            </w:r>
          </w:p>
          <w:p w14:paraId="480EC4CC" w14:textId="77777777" w:rsidR="00C132B6" w:rsidRDefault="00C132B6" w:rsidP="00FA5334">
            <w:pPr>
              <w:jc w:val="both"/>
              <w:rPr>
                <w:rFonts w:ascii="Century Gothic" w:hAnsi="Century Gothic"/>
                <w:bCs/>
                <w:sz w:val="18"/>
                <w:szCs w:val="18"/>
                <w:lang w:val="en-GB"/>
              </w:rPr>
            </w:pPr>
          </w:p>
          <w:p w14:paraId="3C28D1A6" w14:textId="10E2EBD0" w:rsidR="00FA2A6A" w:rsidRDefault="00C132B6" w:rsidP="00FA5334">
            <w:pPr>
              <w:jc w:val="both"/>
              <w:rPr>
                <w:rFonts w:ascii="Century Gothic" w:hAnsi="Century Gothic"/>
                <w:bCs/>
                <w:sz w:val="18"/>
                <w:szCs w:val="18"/>
                <w:lang w:val="en-GB"/>
              </w:rPr>
            </w:pPr>
            <w:r>
              <w:rPr>
                <w:rFonts w:ascii="Century Gothic" w:hAnsi="Century Gothic"/>
                <w:bCs/>
                <w:sz w:val="18"/>
                <w:szCs w:val="18"/>
                <w:lang w:val="en-GB"/>
              </w:rPr>
              <w:t>There</w:t>
            </w:r>
            <w:r w:rsidRPr="002A5F22">
              <w:rPr>
                <w:rFonts w:ascii="Century Gothic" w:hAnsi="Century Gothic"/>
                <w:bCs/>
                <w:sz w:val="18"/>
                <w:szCs w:val="18"/>
                <w:lang w:val="en-GB"/>
              </w:rPr>
              <w:t xml:space="preserve"> is nothing </w:t>
            </w:r>
            <w:r w:rsidR="003A1151">
              <w:rPr>
                <w:rFonts w:ascii="Century Gothic" w:hAnsi="Century Gothic"/>
                <w:bCs/>
                <w:sz w:val="18"/>
                <w:szCs w:val="18"/>
                <w:lang w:val="en-GB"/>
              </w:rPr>
              <w:t xml:space="preserve">in LN 167/2013 that requires </w:t>
            </w:r>
            <w:r w:rsidR="00C83D3F">
              <w:rPr>
                <w:rFonts w:ascii="Century Gothic" w:hAnsi="Century Gothic"/>
                <w:bCs/>
                <w:sz w:val="18"/>
                <w:szCs w:val="18"/>
                <w:lang w:val="en-GB"/>
              </w:rPr>
              <w:t>a minimum stay</w:t>
            </w:r>
            <w:r w:rsidRPr="002A5F22">
              <w:rPr>
                <w:rFonts w:ascii="Century Gothic" w:hAnsi="Century Gothic"/>
                <w:bCs/>
                <w:sz w:val="18"/>
                <w:szCs w:val="18"/>
                <w:lang w:val="en-GB"/>
              </w:rPr>
              <w:t xml:space="preserve"> </w:t>
            </w:r>
            <w:r w:rsidR="00C83D3F">
              <w:rPr>
                <w:rFonts w:ascii="Century Gothic" w:hAnsi="Century Gothic"/>
                <w:bCs/>
                <w:sz w:val="18"/>
                <w:szCs w:val="18"/>
                <w:lang w:val="en-GB"/>
              </w:rPr>
              <w:t xml:space="preserve">or </w:t>
            </w:r>
            <w:r w:rsidRPr="00692708">
              <w:rPr>
                <w:rFonts w:ascii="Century Gothic" w:hAnsi="Century Gothic"/>
                <w:bCs/>
                <w:sz w:val="18"/>
                <w:szCs w:val="18"/>
                <w:lang w:val="en-GB"/>
              </w:rPr>
              <w:t xml:space="preserve">continuous </w:t>
            </w:r>
            <w:r w:rsidRPr="002A5F22">
              <w:rPr>
                <w:rFonts w:ascii="Century Gothic" w:hAnsi="Century Gothic"/>
                <w:bCs/>
                <w:sz w:val="18"/>
                <w:szCs w:val="18"/>
                <w:lang w:val="en-GB"/>
              </w:rPr>
              <w:t xml:space="preserve">physical presence of the </w:t>
            </w:r>
            <w:r w:rsidR="00EE1F63">
              <w:rPr>
                <w:rFonts w:ascii="Century Gothic" w:hAnsi="Century Gothic"/>
                <w:bCs/>
                <w:sz w:val="18"/>
                <w:szCs w:val="18"/>
                <w:lang w:val="en-GB"/>
              </w:rPr>
              <w:t>beneficiary</w:t>
            </w:r>
            <w:r w:rsidRPr="002A5F22">
              <w:rPr>
                <w:rFonts w:ascii="Century Gothic" w:hAnsi="Century Gothic"/>
                <w:bCs/>
                <w:sz w:val="18"/>
                <w:szCs w:val="18"/>
                <w:lang w:val="en-GB"/>
              </w:rPr>
              <w:t xml:space="preserve"> in Malta</w:t>
            </w:r>
            <w:r w:rsidRPr="00692708">
              <w:rPr>
                <w:rFonts w:ascii="Century Gothic" w:hAnsi="Century Gothic"/>
                <w:bCs/>
                <w:sz w:val="18"/>
                <w:szCs w:val="18"/>
                <w:lang w:val="en-GB"/>
              </w:rPr>
              <w:t>.</w:t>
            </w:r>
            <w:r w:rsidR="00C83D3F">
              <w:rPr>
                <w:rStyle w:val="FootnoteReference"/>
                <w:rFonts w:ascii="Century Gothic" w:hAnsi="Century Gothic"/>
                <w:bCs/>
                <w:sz w:val="18"/>
                <w:szCs w:val="18"/>
                <w:lang w:val="en-GB"/>
              </w:rPr>
              <w:footnoteReference w:id="130"/>
            </w:r>
            <w:r w:rsidR="00EE1F63">
              <w:rPr>
                <w:rFonts w:ascii="Century Gothic" w:hAnsi="Century Gothic"/>
                <w:bCs/>
                <w:sz w:val="18"/>
                <w:szCs w:val="18"/>
                <w:lang w:val="en-GB"/>
              </w:rPr>
              <w:t xml:space="preserve"> Rule 6(1)(f) </w:t>
            </w:r>
            <w:r w:rsidR="00EE1F63" w:rsidRPr="00EE1F63">
              <w:rPr>
                <w:rFonts w:ascii="Century Gothic" w:hAnsi="Century Gothic"/>
                <w:bCs/>
                <w:sz w:val="18"/>
                <w:szCs w:val="18"/>
                <w:lang w:val="en-GB"/>
              </w:rPr>
              <w:t>of LN 167/2013 states that</w:t>
            </w:r>
            <w:r w:rsidRPr="00EE1F63">
              <w:rPr>
                <w:rFonts w:ascii="Century Gothic" w:hAnsi="Century Gothic"/>
                <w:bCs/>
                <w:sz w:val="18"/>
                <w:szCs w:val="18"/>
                <w:lang w:val="en-GB"/>
              </w:rPr>
              <w:t xml:space="preserve"> </w:t>
            </w:r>
            <w:r w:rsidR="00EE1F63" w:rsidRPr="00C83D3F">
              <w:rPr>
                <w:rFonts w:ascii="Century Gothic" w:hAnsi="Century Gothic"/>
                <w:bCs/>
                <w:sz w:val="18"/>
                <w:szCs w:val="18"/>
                <w:lang w:val="en-GB"/>
              </w:rPr>
              <w:t xml:space="preserve">If the beneficiary stays ‘in any other jurisdiction’ for more than 183 days in a calendar year the special tax status granted under the GRP ceases. This is not equivalent to a requirement to be present in Malta for 183 days but only not </w:t>
            </w:r>
            <w:r w:rsidR="00EE1F63" w:rsidRPr="00522425">
              <w:rPr>
                <w:rFonts w:ascii="Century Gothic" w:hAnsi="Century Gothic"/>
                <w:bCs/>
                <w:sz w:val="18"/>
                <w:szCs w:val="18"/>
                <w:lang w:val="en-GB"/>
              </w:rPr>
              <w:t xml:space="preserve">to be in any other single </w:t>
            </w:r>
            <w:r w:rsidR="00EE1F63" w:rsidRPr="009736BF">
              <w:rPr>
                <w:rFonts w:ascii="Century Gothic" w:hAnsi="Century Gothic"/>
                <w:bCs/>
                <w:sz w:val="18"/>
                <w:szCs w:val="18"/>
                <w:lang w:val="en-GB"/>
              </w:rPr>
              <w:t>jurisdiction for more than 183 days.</w:t>
            </w:r>
            <w:r w:rsidR="00346D85">
              <w:rPr>
                <w:rStyle w:val="FootnoteReference"/>
                <w:rFonts w:ascii="Century Gothic" w:hAnsi="Century Gothic"/>
                <w:bCs/>
                <w:sz w:val="18"/>
                <w:szCs w:val="18"/>
                <w:lang w:val="en-GB"/>
              </w:rPr>
              <w:footnoteReference w:id="131"/>
            </w:r>
            <w:r w:rsidR="00EE1F63" w:rsidRPr="009736BF">
              <w:rPr>
                <w:rFonts w:ascii="Century Gothic" w:hAnsi="Century Gothic"/>
                <w:bCs/>
                <w:sz w:val="18"/>
                <w:szCs w:val="18"/>
                <w:lang w:val="en-GB"/>
              </w:rPr>
              <w:t xml:space="preserve"> </w:t>
            </w:r>
          </w:p>
          <w:p w14:paraId="04FF8F9F" w14:textId="77777777" w:rsidR="0081160A" w:rsidRDefault="0081160A" w:rsidP="00FA5334">
            <w:pPr>
              <w:jc w:val="both"/>
              <w:rPr>
                <w:rFonts w:ascii="Century Gothic" w:hAnsi="Century Gothic"/>
                <w:bCs/>
                <w:sz w:val="18"/>
                <w:szCs w:val="18"/>
                <w:lang w:val="en-GB"/>
              </w:rPr>
            </w:pPr>
          </w:p>
          <w:p w14:paraId="6F80CDA2" w14:textId="460F3D04" w:rsidR="0081160A" w:rsidRDefault="0081160A" w:rsidP="00FA5334">
            <w:pPr>
              <w:jc w:val="both"/>
              <w:rPr>
                <w:rFonts w:ascii="Century Gothic" w:hAnsi="Century Gothic"/>
                <w:bCs/>
                <w:sz w:val="18"/>
                <w:szCs w:val="18"/>
                <w:lang w:val="en-GB"/>
              </w:rPr>
            </w:pPr>
            <w:r>
              <w:rPr>
                <w:rFonts w:ascii="Century Gothic" w:hAnsi="Century Gothic"/>
                <w:bCs/>
                <w:sz w:val="18"/>
                <w:szCs w:val="18"/>
                <w:lang w:val="en-GB"/>
              </w:rPr>
              <w:t>If the GRP beneficiary obtains residence rights through</w:t>
            </w:r>
            <w:r w:rsidR="00E20074">
              <w:rPr>
                <w:rFonts w:ascii="Century Gothic" w:hAnsi="Century Gothic"/>
                <w:bCs/>
                <w:sz w:val="18"/>
                <w:szCs w:val="18"/>
                <w:lang w:val="en-GB"/>
              </w:rPr>
              <w:t xml:space="preserve"> the</w:t>
            </w:r>
            <w:r>
              <w:rPr>
                <w:rFonts w:ascii="Century Gothic" w:hAnsi="Century Gothic"/>
                <w:bCs/>
                <w:sz w:val="18"/>
                <w:szCs w:val="18"/>
                <w:lang w:val="en-GB"/>
              </w:rPr>
              <w:t xml:space="preserve"> MRVP, </w:t>
            </w:r>
            <w:r w:rsidR="00E20074">
              <w:rPr>
                <w:rFonts w:ascii="Century Gothic" w:hAnsi="Century Gothic"/>
                <w:bCs/>
                <w:sz w:val="18"/>
                <w:szCs w:val="18"/>
                <w:lang w:val="en-GB"/>
              </w:rPr>
              <w:t xml:space="preserve">the </w:t>
            </w:r>
            <w:r>
              <w:rPr>
                <w:rFonts w:ascii="Century Gothic" w:hAnsi="Century Gothic"/>
                <w:bCs/>
                <w:sz w:val="18"/>
                <w:szCs w:val="18"/>
                <w:lang w:val="en-GB"/>
              </w:rPr>
              <w:t>information provided above applies.</w:t>
            </w:r>
          </w:p>
          <w:p w14:paraId="15C334AA" w14:textId="77777777" w:rsidR="0081160A" w:rsidRDefault="0081160A" w:rsidP="00FA5334">
            <w:pPr>
              <w:jc w:val="both"/>
              <w:rPr>
                <w:rFonts w:ascii="Century Gothic" w:hAnsi="Century Gothic"/>
                <w:bCs/>
                <w:sz w:val="18"/>
                <w:szCs w:val="18"/>
                <w:lang w:val="en-GB"/>
              </w:rPr>
            </w:pPr>
          </w:p>
          <w:p w14:paraId="56972E70" w14:textId="6FE10AF2" w:rsidR="0081160A" w:rsidRDefault="0081160A" w:rsidP="00FA5334">
            <w:pPr>
              <w:jc w:val="both"/>
              <w:rPr>
                <w:rFonts w:ascii="Century Gothic" w:hAnsi="Century Gothic"/>
                <w:bCs/>
                <w:sz w:val="18"/>
                <w:szCs w:val="18"/>
                <w:lang w:val="en-GB"/>
              </w:rPr>
            </w:pPr>
            <w:r w:rsidRPr="00346D85">
              <w:rPr>
                <w:rFonts w:ascii="Century Gothic" w:hAnsi="Century Gothic"/>
                <w:bCs/>
                <w:sz w:val="18"/>
                <w:szCs w:val="18"/>
                <w:lang w:val="en-GB"/>
              </w:rPr>
              <w:t xml:space="preserve">If </w:t>
            </w:r>
            <w:r w:rsidR="00E20074" w:rsidRPr="00346D85">
              <w:rPr>
                <w:rFonts w:ascii="Century Gothic" w:hAnsi="Century Gothic"/>
                <w:bCs/>
                <w:sz w:val="18"/>
                <w:szCs w:val="18"/>
                <w:lang w:val="en-GB"/>
              </w:rPr>
              <w:t>the GRP beneficiary applies</w:t>
            </w:r>
            <w:r w:rsidRPr="00346D85">
              <w:rPr>
                <w:rFonts w:ascii="Century Gothic" w:hAnsi="Century Gothic"/>
                <w:bCs/>
                <w:sz w:val="18"/>
                <w:szCs w:val="18"/>
                <w:lang w:val="en-GB"/>
              </w:rPr>
              <w:t xml:space="preserve"> for a </w:t>
            </w:r>
            <w:r w:rsidR="00556740" w:rsidRPr="00346D85">
              <w:rPr>
                <w:rFonts w:ascii="Century Gothic" w:hAnsi="Century Gothic"/>
                <w:bCs/>
                <w:sz w:val="18"/>
                <w:szCs w:val="18"/>
                <w:lang w:val="en-GB"/>
              </w:rPr>
              <w:t xml:space="preserve">uniform </w:t>
            </w:r>
            <w:r w:rsidRPr="00346D85">
              <w:rPr>
                <w:rFonts w:ascii="Century Gothic" w:hAnsi="Century Gothic"/>
                <w:bCs/>
                <w:sz w:val="18"/>
                <w:szCs w:val="18"/>
                <w:lang w:val="en-GB"/>
              </w:rPr>
              <w:t xml:space="preserve">residence permit, </w:t>
            </w:r>
            <w:r w:rsidR="003A1151" w:rsidRPr="00346D85">
              <w:rPr>
                <w:rFonts w:ascii="Century Gothic" w:hAnsi="Century Gothic"/>
                <w:bCs/>
                <w:sz w:val="18"/>
                <w:szCs w:val="18"/>
                <w:lang w:val="en-GB"/>
              </w:rPr>
              <w:t>s/he</w:t>
            </w:r>
            <w:r w:rsidRPr="00346D85">
              <w:rPr>
                <w:rFonts w:ascii="Century Gothic" w:hAnsi="Century Gothic"/>
                <w:bCs/>
                <w:sz w:val="18"/>
                <w:szCs w:val="18"/>
                <w:lang w:val="en-GB"/>
              </w:rPr>
              <w:t xml:space="preserve"> needs to be physically present in Malta to enrol biometric data for the Residence Card</w:t>
            </w:r>
            <w:r w:rsidR="003A1151" w:rsidRPr="00346D85">
              <w:rPr>
                <w:rFonts w:ascii="Century Gothic" w:hAnsi="Century Gothic"/>
                <w:bCs/>
                <w:sz w:val="18"/>
                <w:szCs w:val="18"/>
                <w:lang w:val="en-GB"/>
              </w:rPr>
              <w:t xml:space="preserve"> as explained for the MRVP above</w:t>
            </w:r>
            <w:r w:rsidRPr="00346D85">
              <w:rPr>
                <w:rFonts w:ascii="Century Gothic" w:hAnsi="Century Gothic"/>
                <w:bCs/>
                <w:sz w:val="18"/>
                <w:szCs w:val="18"/>
                <w:lang w:val="en-GB"/>
              </w:rPr>
              <w:t>.</w:t>
            </w:r>
            <w:r>
              <w:rPr>
                <w:rFonts w:ascii="Century Gothic" w:hAnsi="Century Gothic"/>
                <w:bCs/>
                <w:sz w:val="18"/>
                <w:szCs w:val="18"/>
                <w:lang w:val="en-GB"/>
              </w:rPr>
              <w:t xml:space="preserve"> </w:t>
            </w:r>
          </w:p>
          <w:p w14:paraId="276DC60D" w14:textId="77777777" w:rsidR="00443D35" w:rsidRDefault="00443D35" w:rsidP="00FA5334">
            <w:pPr>
              <w:jc w:val="both"/>
              <w:rPr>
                <w:rFonts w:ascii="Century Gothic" w:hAnsi="Century Gothic"/>
                <w:bCs/>
                <w:sz w:val="18"/>
                <w:szCs w:val="18"/>
                <w:lang w:val="en-GB"/>
              </w:rPr>
            </w:pPr>
          </w:p>
          <w:p w14:paraId="6E27D63E" w14:textId="402B2018" w:rsidR="0081160A" w:rsidRDefault="0081160A" w:rsidP="00FA5334">
            <w:pPr>
              <w:jc w:val="both"/>
              <w:rPr>
                <w:rFonts w:ascii="Century Gothic" w:hAnsi="Century Gothic"/>
                <w:bCs/>
                <w:sz w:val="18"/>
                <w:szCs w:val="18"/>
                <w:lang w:val="en-GB"/>
              </w:rPr>
            </w:pPr>
            <w:r>
              <w:rPr>
                <w:rFonts w:ascii="Century Gothic" w:hAnsi="Century Gothic"/>
                <w:bCs/>
                <w:sz w:val="18"/>
                <w:szCs w:val="18"/>
                <w:lang w:val="en-GB"/>
              </w:rPr>
              <w:lastRenderedPageBreak/>
              <w:t>The national law does not foresee checks on the physical presence of the applicant, but ‘</w:t>
            </w:r>
            <w:r w:rsidR="003A1151">
              <w:rPr>
                <w:rFonts w:ascii="Century Gothic" w:hAnsi="Century Gothic"/>
                <w:bCs/>
                <w:sz w:val="18"/>
                <w:szCs w:val="18"/>
                <w:lang w:val="en-GB"/>
              </w:rPr>
              <w:t xml:space="preserve">qualifying </w:t>
            </w:r>
            <w:r>
              <w:rPr>
                <w:rFonts w:ascii="Century Gothic" w:hAnsi="Century Gothic"/>
                <w:bCs/>
                <w:sz w:val="18"/>
                <w:szCs w:val="18"/>
                <w:lang w:val="en-GB"/>
              </w:rPr>
              <w:t xml:space="preserve">property holding’ and ‘primary residence’ should be maintained. </w:t>
            </w:r>
            <w:r w:rsidR="00556740">
              <w:rPr>
                <w:rFonts w:ascii="Century Gothic" w:hAnsi="Century Gothic"/>
                <w:bCs/>
                <w:sz w:val="18"/>
                <w:szCs w:val="18"/>
                <w:lang w:val="en-GB"/>
              </w:rPr>
              <w:t xml:space="preserve"> (LN 167/2013)</w:t>
            </w:r>
            <w:r w:rsidR="0064594D">
              <w:rPr>
                <w:rFonts w:ascii="Century Gothic" w:hAnsi="Century Gothic"/>
                <w:bCs/>
                <w:sz w:val="18"/>
                <w:szCs w:val="18"/>
                <w:lang w:val="en-GB"/>
              </w:rPr>
              <w:t xml:space="preserve">. </w:t>
            </w:r>
          </w:p>
        </w:tc>
        <w:tc>
          <w:tcPr>
            <w:tcW w:w="662" w:type="pct"/>
            <w:shd w:val="clear" w:color="auto" w:fill="F2F2F2" w:themeFill="background1" w:themeFillShade="F2"/>
          </w:tcPr>
          <w:p w14:paraId="629ABDD3" w14:textId="77777777" w:rsidR="00863EC0" w:rsidRDefault="008A6ADE" w:rsidP="00FA5334">
            <w:pPr>
              <w:jc w:val="both"/>
              <w:rPr>
                <w:rFonts w:ascii="Century Gothic" w:hAnsi="Century Gothic"/>
                <w:bCs/>
                <w:sz w:val="18"/>
                <w:szCs w:val="18"/>
                <w:lang w:val="en-GB"/>
              </w:rPr>
            </w:pPr>
            <w:r>
              <w:rPr>
                <w:rFonts w:ascii="Century Gothic" w:hAnsi="Century Gothic"/>
                <w:bCs/>
                <w:sz w:val="18"/>
                <w:szCs w:val="18"/>
                <w:lang w:val="en-GB"/>
              </w:rPr>
              <w:lastRenderedPageBreak/>
              <w:t xml:space="preserve">The Commissioner for Revenue is the competent </w:t>
            </w:r>
            <w:r>
              <w:rPr>
                <w:rFonts w:ascii="Century Gothic" w:hAnsi="Century Gothic"/>
                <w:bCs/>
                <w:sz w:val="18"/>
                <w:szCs w:val="18"/>
                <w:lang w:val="en-GB"/>
              </w:rPr>
              <w:lastRenderedPageBreak/>
              <w:t xml:space="preserve">authority for the GRP. </w:t>
            </w:r>
          </w:p>
          <w:p w14:paraId="424C575B" w14:textId="77777777" w:rsidR="00863EC0" w:rsidRDefault="00863EC0" w:rsidP="00FA5334">
            <w:pPr>
              <w:jc w:val="both"/>
              <w:rPr>
                <w:rFonts w:ascii="Century Gothic" w:hAnsi="Century Gothic"/>
                <w:bCs/>
                <w:sz w:val="18"/>
                <w:szCs w:val="18"/>
                <w:lang w:val="en-GB"/>
              </w:rPr>
            </w:pPr>
          </w:p>
          <w:p w14:paraId="05C01D99" w14:textId="77777777" w:rsidR="00863EC0" w:rsidRDefault="008A6ADE" w:rsidP="00FA5334">
            <w:pPr>
              <w:jc w:val="both"/>
              <w:rPr>
                <w:rFonts w:ascii="Century Gothic" w:hAnsi="Century Gothic"/>
                <w:bCs/>
                <w:sz w:val="18"/>
                <w:szCs w:val="18"/>
                <w:lang w:val="en-GB"/>
              </w:rPr>
            </w:pPr>
            <w:r>
              <w:rPr>
                <w:rFonts w:ascii="Century Gothic" w:hAnsi="Century Gothic"/>
                <w:bCs/>
                <w:sz w:val="18"/>
                <w:szCs w:val="18"/>
                <w:lang w:val="en-GB"/>
              </w:rPr>
              <w:t xml:space="preserve">Should the GRP beneficiary eventually apply for a residence certificate under the MRVP, the authorities mentioned above for the MRVP would be competent. </w:t>
            </w:r>
          </w:p>
          <w:p w14:paraId="3ACD8E27" w14:textId="77777777" w:rsidR="00863EC0" w:rsidRDefault="00863EC0" w:rsidP="00FA5334">
            <w:pPr>
              <w:jc w:val="both"/>
              <w:rPr>
                <w:rFonts w:ascii="Century Gothic" w:hAnsi="Century Gothic"/>
                <w:bCs/>
                <w:sz w:val="18"/>
                <w:szCs w:val="18"/>
                <w:lang w:val="en-GB"/>
              </w:rPr>
            </w:pPr>
          </w:p>
          <w:p w14:paraId="0F247143" w14:textId="4255845E" w:rsidR="00AA565E" w:rsidRPr="00C83D3F" w:rsidRDefault="00863EC0" w:rsidP="00FA5334">
            <w:pPr>
              <w:jc w:val="both"/>
              <w:rPr>
                <w:rFonts w:ascii="Century Gothic" w:hAnsi="Century Gothic"/>
                <w:bCs/>
                <w:sz w:val="18"/>
                <w:szCs w:val="18"/>
                <w:lang w:val="en-GB"/>
              </w:rPr>
            </w:pPr>
            <w:r>
              <w:rPr>
                <w:rFonts w:ascii="Century Gothic" w:hAnsi="Century Gothic"/>
                <w:bCs/>
                <w:sz w:val="18"/>
                <w:szCs w:val="18"/>
                <w:lang w:val="en-GB"/>
              </w:rPr>
              <w:t xml:space="preserve">If GRP beneficiaries apply for a </w:t>
            </w:r>
            <w:r w:rsidR="00443D35">
              <w:rPr>
                <w:rFonts w:ascii="Century Gothic" w:hAnsi="Century Gothic"/>
                <w:bCs/>
                <w:sz w:val="18"/>
                <w:szCs w:val="18"/>
                <w:lang w:val="en-GB"/>
              </w:rPr>
              <w:t xml:space="preserve">uniform </w:t>
            </w:r>
            <w:r w:rsidR="00E20074">
              <w:rPr>
                <w:rFonts w:ascii="Century Gothic" w:hAnsi="Century Gothic"/>
                <w:bCs/>
                <w:sz w:val="18"/>
                <w:szCs w:val="18"/>
                <w:lang w:val="en-GB"/>
              </w:rPr>
              <w:t xml:space="preserve">residence </w:t>
            </w:r>
            <w:r>
              <w:rPr>
                <w:rFonts w:ascii="Century Gothic" w:hAnsi="Century Gothic"/>
                <w:bCs/>
                <w:sz w:val="18"/>
                <w:szCs w:val="18"/>
                <w:lang w:val="en-GB"/>
              </w:rPr>
              <w:t>permit</w:t>
            </w:r>
            <w:r w:rsidR="0081160A">
              <w:rPr>
                <w:rFonts w:ascii="Century Gothic" w:hAnsi="Century Gothic"/>
                <w:bCs/>
                <w:sz w:val="18"/>
                <w:szCs w:val="18"/>
                <w:lang w:val="en-GB"/>
              </w:rPr>
              <w:t>, the competent authority is Identity Malta.</w:t>
            </w:r>
            <w:r>
              <w:rPr>
                <w:rFonts w:ascii="Century Gothic" w:hAnsi="Century Gothic"/>
                <w:bCs/>
                <w:sz w:val="18"/>
                <w:szCs w:val="18"/>
                <w:lang w:val="en-GB"/>
              </w:rPr>
              <w:t xml:space="preserve"> </w:t>
            </w:r>
          </w:p>
          <w:p w14:paraId="0952F672" w14:textId="77777777" w:rsidR="00FA2A6A" w:rsidRPr="00C83D3F" w:rsidRDefault="00FA2A6A" w:rsidP="00FA5334">
            <w:pPr>
              <w:jc w:val="both"/>
              <w:rPr>
                <w:rFonts w:ascii="Century Gothic" w:hAnsi="Century Gothic"/>
                <w:bCs/>
                <w:sz w:val="18"/>
                <w:szCs w:val="18"/>
                <w:lang w:val="en-US"/>
              </w:rPr>
            </w:pPr>
          </w:p>
        </w:tc>
        <w:tc>
          <w:tcPr>
            <w:tcW w:w="1647" w:type="pct"/>
            <w:shd w:val="clear" w:color="auto" w:fill="F2F2F2" w:themeFill="background1" w:themeFillShade="F2"/>
          </w:tcPr>
          <w:p w14:paraId="4E2F0199" w14:textId="77777777" w:rsidR="00FA2A6A" w:rsidRDefault="00EE1F63" w:rsidP="00FA5334">
            <w:pPr>
              <w:jc w:val="both"/>
              <w:rPr>
                <w:rFonts w:ascii="Century Gothic" w:hAnsi="Century Gothic"/>
                <w:bCs/>
                <w:sz w:val="18"/>
                <w:szCs w:val="18"/>
                <w:lang w:val="en-GB"/>
              </w:rPr>
            </w:pPr>
            <w:r>
              <w:rPr>
                <w:rFonts w:ascii="Century Gothic" w:hAnsi="Century Gothic"/>
                <w:bCs/>
                <w:sz w:val="18"/>
                <w:szCs w:val="18"/>
                <w:lang w:val="en-GB"/>
              </w:rPr>
              <w:lastRenderedPageBreak/>
              <w:t>The special tax status granted by the GRP rules has no expiry date.</w:t>
            </w:r>
            <w:r w:rsidR="008A6ADE">
              <w:rPr>
                <w:rFonts w:ascii="Century Gothic" w:hAnsi="Century Gothic"/>
                <w:bCs/>
                <w:sz w:val="18"/>
                <w:szCs w:val="18"/>
                <w:lang w:val="en-GB"/>
              </w:rPr>
              <w:t xml:space="preserve"> There is no residence permit attached to the GRP. Should the GRP beneficiary </w:t>
            </w:r>
            <w:r w:rsidR="008A6ADE">
              <w:rPr>
                <w:rFonts w:ascii="Century Gothic" w:hAnsi="Century Gothic"/>
                <w:bCs/>
                <w:sz w:val="18"/>
                <w:szCs w:val="18"/>
                <w:lang w:val="en-GB"/>
              </w:rPr>
              <w:lastRenderedPageBreak/>
              <w:t>eventually apply for a residence certificate under the MRVP the information provided above applies.</w:t>
            </w:r>
          </w:p>
          <w:p w14:paraId="7C5D3953" w14:textId="77777777" w:rsidR="0081160A" w:rsidRDefault="0081160A" w:rsidP="00FA5334">
            <w:pPr>
              <w:jc w:val="both"/>
              <w:rPr>
                <w:rFonts w:ascii="Century Gothic" w:hAnsi="Century Gothic"/>
                <w:bCs/>
                <w:sz w:val="18"/>
                <w:szCs w:val="18"/>
                <w:lang w:val="en-GB"/>
              </w:rPr>
            </w:pPr>
          </w:p>
          <w:p w14:paraId="79B92119" w14:textId="61B3655E" w:rsidR="003A1151" w:rsidRPr="00346D85" w:rsidRDefault="0081160A" w:rsidP="00FA5334">
            <w:pPr>
              <w:jc w:val="both"/>
              <w:rPr>
                <w:rFonts w:ascii="Century Gothic" w:hAnsi="Century Gothic"/>
                <w:bCs/>
                <w:sz w:val="18"/>
                <w:szCs w:val="18"/>
                <w:lang w:val="en-GB"/>
              </w:rPr>
            </w:pPr>
            <w:r w:rsidRPr="00346D85">
              <w:rPr>
                <w:rFonts w:ascii="Century Gothic" w:hAnsi="Century Gothic"/>
                <w:bCs/>
                <w:sz w:val="18"/>
                <w:szCs w:val="18"/>
                <w:lang w:val="en-GB"/>
              </w:rPr>
              <w:t xml:space="preserve">If GRP applicants </w:t>
            </w:r>
            <w:r w:rsidR="00556740" w:rsidRPr="00346D85">
              <w:rPr>
                <w:rFonts w:ascii="Century Gothic" w:hAnsi="Century Gothic"/>
                <w:bCs/>
                <w:sz w:val="18"/>
                <w:szCs w:val="18"/>
                <w:lang w:val="en-GB"/>
              </w:rPr>
              <w:t xml:space="preserve">opt for </w:t>
            </w:r>
            <w:r w:rsidRPr="00346D85">
              <w:rPr>
                <w:rFonts w:ascii="Century Gothic" w:hAnsi="Century Gothic"/>
                <w:bCs/>
                <w:sz w:val="18"/>
                <w:szCs w:val="18"/>
                <w:lang w:val="en-GB"/>
              </w:rPr>
              <w:t xml:space="preserve">a </w:t>
            </w:r>
            <w:r w:rsidR="00556740" w:rsidRPr="00346D85">
              <w:rPr>
                <w:rFonts w:ascii="Century Gothic" w:hAnsi="Century Gothic"/>
                <w:bCs/>
                <w:sz w:val="18"/>
                <w:szCs w:val="18"/>
                <w:lang w:val="en-GB"/>
              </w:rPr>
              <w:t xml:space="preserve">uniform </w:t>
            </w:r>
            <w:r w:rsidRPr="00346D85">
              <w:rPr>
                <w:rFonts w:ascii="Century Gothic" w:hAnsi="Century Gothic"/>
                <w:bCs/>
                <w:sz w:val="18"/>
                <w:szCs w:val="18"/>
                <w:lang w:val="en-GB"/>
              </w:rPr>
              <w:t xml:space="preserve">residence permit, the </w:t>
            </w:r>
            <w:r w:rsidRPr="00346D85">
              <w:rPr>
                <w:rFonts w:ascii="Century Gothic" w:hAnsi="Century Gothic"/>
                <w:b/>
                <w:bCs/>
                <w:sz w:val="18"/>
                <w:szCs w:val="18"/>
                <w:lang w:val="en-GB"/>
              </w:rPr>
              <w:t>first permit is valid for one year</w:t>
            </w:r>
            <w:r w:rsidRPr="00346D85">
              <w:rPr>
                <w:rFonts w:ascii="Century Gothic" w:hAnsi="Century Gothic"/>
                <w:bCs/>
                <w:sz w:val="18"/>
                <w:szCs w:val="18"/>
                <w:lang w:val="en-GB"/>
              </w:rPr>
              <w:t>. Permits can be renewed for two years following their first year of legal residence in Malta and upon confirmation of the latest tax payments by the Inland Revenue Department.</w:t>
            </w:r>
            <w:r w:rsidRPr="00346D85">
              <w:rPr>
                <w:rStyle w:val="FootnoteReference"/>
                <w:rFonts w:ascii="Century Gothic" w:hAnsi="Century Gothic"/>
                <w:bCs/>
                <w:sz w:val="18"/>
                <w:szCs w:val="18"/>
                <w:lang w:val="en-GB"/>
              </w:rPr>
              <w:footnoteReference w:id="132"/>
            </w:r>
            <w:r w:rsidRPr="00346D85">
              <w:rPr>
                <w:rFonts w:ascii="Century Gothic" w:hAnsi="Century Gothic"/>
                <w:bCs/>
                <w:sz w:val="18"/>
                <w:szCs w:val="18"/>
                <w:lang w:val="en-GB"/>
              </w:rPr>
              <w:t xml:space="preserve"> </w:t>
            </w:r>
            <w:r w:rsidR="003A1151" w:rsidRPr="00346D85">
              <w:rPr>
                <w:rFonts w:ascii="Century Gothic" w:hAnsi="Century Gothic"/>
                <w:bCs/>
                <w:sz w:val="18"/>
                <w:szCs w:val="18"/>
                <w:lang w:val="en-US"/>
              </w:rPr>
              <w:t>Applications are made on the designated form and require a payment of a non-refundable administrative fee of EUR 27.50.</w:t>
            </w:r>
            <w:r w:rsidR="003A1151" w:rsidRPr="00346D85">
              <w:rPr>
                <w:rFonts w:ascii="Century Gothic" w:hAnsi="Century Gothic"/>
                <w:bCs/>
                <w:sz w:val="18"/>
                <w:szCs w:val="18"/>
                <w:vertAlign w:val="superscript"/>
                <w:lang w:val="en-US"/>
              </w:rPr>
              <w:footnoteReference w:id="133"/>
            </w:r>
            <w:r w:rsidR="003A1151" w:rsidRPr="00346D85">
              <w:rPr>
                <w:rFonts w:ascii="Century Gothic" w:hAnsi="Century Gothic"/>
                <w:bCs/>
                <w:sz w:val="18"/>
                <w:szCs w:val="18"/>
                <w:lang w:val="en-US"/>
              </w:rPr>
              <w:t xml:space="preserve"> Identity Malta issues a residence</w:t>
            </w:r>
            <w:r w:rsidR="007A698D" w:rsidRPr="00346D85">
              <w:rPr>
                <w:rFonts w:ascii="Century Gothic" w:hAnsi="Century Gothic"/>
                <w:bCs/>
                <w:sz w:val="18"/>
                <w:szCs w:val="18"/>
                <w:lang w:val="en-US"/>
              </w:rPr>
              <w:t xml:space="preserve"> permit</w:t>
            </w:r>
            <w:r w:rsidR="003A1151" w:rsidRPr="00346D85">
              <w:rPr>
                <w:rFonts w:ascii="Century Gothic" w:hAnsi="Century Gothic"/>
                <w:bCs/>
                <w:sz w:val="18"/>
                <w:szCs w:val="18"/>
                <w:lang w:val="en-US"/>
              </w:rPr>
              <w:t>, which can be renewed for two years following the</w:t>
            </w:r>
            <w:r w:rsidR="007A698D" w:rsidRPr="00346D85">
              <w:rPr>
                <w:rFonts w:ascii="Century Gothic" w:hAnsi="Century Gothic"/>
                <w:bCs/>
                <w:sz w:val="18"/>
                <w:szCs w:val="18"/>
                <w:lang w:val="en-US"/>
              </w:rPr>
              <w:t xml:space="preserve"> applicant’s</w:t>
            </w:r>
            <w:r w:rsidR="003A1151" w:rsidRPr="00346D85">
              <w:rPr>
                <w:rFonts w:ascii="Century Gothic" w:hAnsi="Century Gothic"/>
                <w:bCs/>
                <w:sz w:val="18"/>
                <w:szCs w:val="18"/>
                <w:lang w:val="en-US"/>
              </w:rPr>
              <w:t xml:space="preserve"> first year of legal residence in Malta and upon confirmation of the latest tax payments by the Inland Revenue Department.</w:t>
            </w:r>
            <w:r w:rsidR="003A1151" w:rsidRPr="00346D85">
              <w:rPr>
                <w:rFonts w:ascii="Century Gothic" w:hAnsi="Century Gothic"/>
                <w:bCs/>
                <w:sz w:val="18"/>
                <w:szCs w:val="18"/>
                <w:vertAlign w:val="superscript"/>
                <w:lang w:val="en-US"/>
              </w:rPr>
              <w:t xml:space="preserve"> </w:t>
            </w:r>
            <w:r w:rsidR="003A1151" w:rsidRPr="00346D85">
              <w:rPr>
                <w:rFonts w:ascii="Century Gothic" w:hAnsi="Century Gothic"/>
                <w:bCs/>
                <w:sz w:val="18"/>
                <w:szCs w:val="18"/>
                <w:vertAlign w:val="superscript"/>
                <w:lang w:val="en-US"/>
              </w:rPr>
              <w:footnoteReference w:id="134"/>
            </w:r>
          </w:p>
          <w:p w14:paraId="4EC538DF" w14:textId="653578CF" w:rsidR="003A1151" w:rsidRPr="00CE0FFD" w:rsidRDefault="003A1151" w:rsidP="00FA5334">
            <w:pPr>
              <w:jc w:val="both"/>
              <w:rPr>
                <w:rFonts w:ascii="Century Gothic" w:hAnsi="Century Gothic"/>
                <w:bCs/>
                <w:sz w:val="18"/>
                <w:szCs w:val="18"/>
                <w:lang w:val="en-GB"/>
              </w:rPr>
            </w:pPr>
          </w:p>
        </w:tc>
      </w:tr>
      <w:bookmarkEnd w:id="23"/>
    </w:tbl>
    <w:p w14:paraId="2BA67A1A" w14:textId="0FD8913B" w:rsidR="00947E0C" w:rsidRPr="00523824" w:rsidRDefault="00947E0C" w:rsidP="00947E0C">
      <w:pPr>
        <w:pStyle w:val="MBT"/>
        <w:rPr>
          <w:lang w:val="en-GB"/>
        </w:rPr>
      </w:pPr>
    </w:p>
    <w:p w14:paraId="5DC9105B" w14:textId="77777777" w:rsidR="00B311A7" w:rsidRPr="00523824" w:rsidRDefault="00B311A7" w:rsidP="007B4516">
      <w:pPr>
        <w:pStyle w:val="MBT"/>
        <w:rPr>
          <w:lang w:val="en-GB"/>
        </w:rPr>
      </w:pPr>
    </w:p>
    <w:p w14:paraId="05854D34" w14:textId="77777777" w:rsidR="00B311A7" w:rsidRPr="00523824" w:rsidRDefault="00B311A7" w:rsidP="00CE0FFD">
      <w:pPr>
        <w:pStyle w:val="MH1"/>
        <w:spacing w:after="0"/>
      </w:pPr>
      <w:bookmarkStart w:id="24" w:name="_Toc496025537"/>
      <w:bookmarkStart w:id="25" w:name="_Toc517765943"/>
      <w:r w:rsidRPr="00523824">
        <w:lastRenderedPageBreak/>
        <w:t>Due diligence criteria and security considerations</w:t>
      </w:r>
      <w:bookmarkEnd w:id="24"/>
      <w:bookmarkEnd w:id="25"/>
    </w:p>
    <w:p w14:paraId="4C88DBA4" w14:textId="77777777" w:rsidR="00523824" w:rsidRPr="00523824" w:rsidRDefault="00523824" w:rsidP="00CE0FFD">
      <w:pPr>
        <w:jc w:val="both"/>
        <w:rPr>
          <w:bCs/>
          <w:i/>
          <w:color w:val="FF0000"/>
          <w:sz w:val="22"/>
          <w:szCs w:val="22"/>
          <w:lang w:val="en-GB"/>
        </w:rPr>
      </w:pPr>
      <w:bookmarkStart w:id="26" w:name="_Hlk496123712"/>
      <w:bookmarkStart w:id="27" w:name="_Hlk493688164"/>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8333"/>
        <w:gridCol w:w="2648"/>
        <w:gridCol w:w="1533"/>
        <w:gridCol w:w="1424"/>
      </w:tblGrid>
      <w:tr w:rsidR="00692708" w:rsidRPr="00523824" w14:paraId="141DF684" w14:textId="77777777" w:rsidTr="00FA6357">
        <w:tc>
          <w:tcPr>
            <w:tcW w:w="2989" w:type="pct"/>
            <w:tcBorders>
              <w:bottom w:val="single" w:sz="8" w:space="0" w:color="FFFFFF" w:themeColor="background1"/>
            </w:tcBorders>
            <w:shd w:val="clear" w:color="auto" w:fill="B8CCE4" w:themeFill="accent1" w:themeFillTint="66"/>
          </w:tcPr>
          <w:bookmarkEnd w:id="26"/>
          <w:p w14:paraId="2BF76306" w14:textId="77777777" w:rsidR="00B311A7" w:rsidRPr="00523824" w:rsidRDefault="00B311A7" w:rsidP="00CE0FFD">
            <w:pPr>
              <w:jc w:val="center"/>
              <w:rPr>
                <w:rFonts w:ascii="Century Gothic" w:hAnsi="Century Gothic"/>
                <w:b/>
                <w:bCs/>
                <w:sz w:val="18"/>
                <w:szCs w:val="18"/>
                <w:lang w:val="en-GB"/>
              </w:rPr>
            </w:pPr>
            <w:r w:rsidRPr="00523824">
              <w:rPr>
                <w:rFonts w:ascii="Century Gothic" w:hAnsi="Century Gothic"/>
                <w:b/>
                <w:bCs/>
                <w:sz w:val="18"/>
                <w:szCs w:val="18"/>
                <w:lang w:val="en-GB"/>
              </w:rPr>
              <w:t>Due diligence and security considerations</w:t>
            </w:r>
          </w:p>
          <w:p w14:paraId="2C236B7A" w14:textId="778ABB6F" w:rsidR="00B311A7" w:rsidRPr="00523824" w:rsidRDefault="00B311A7" w:rsidP="00CE0FFD">
            <w:pPr>
              <w:pStyle w:val="ListParagraph"/>
              <w:contextualSpacing w:val="0"/>
              <w:jc w:val="left"/>
              <w:rPr>
                <w:rFonts w:ascii="Century Gothic" w:hAnsi="Century Gothic"/>
                <w:bCs/>
                <w:i/>
                <w:color w:val="FF0000"/>
                <w:sz w:val="18"/>
                <w:szCs w:val="18"/>
              </w:rPr>
            </w:pPr>
            <w:r w:rsidRPr="00523824">
              <w:rPr>
                <w:rFonts w:ascii="Century Gothic" w:hAnsi="Century Gothic"/>
                <w:i/>
                <w:color w:val="FF0000"/>
                <w:sz w:val="18"/>
                <w:szCs w:val="18"/>
              </w:rPr>
              <w:t xml:space="preserve"> </w:t>
            </w:r>
          </w:p>
        </w:tc>
        <w:tc>
          <w:tcPr>
            <w:tcW w:w="950" w:type="pct"/>
            <w:tcBorders>
              <w:bottom w:val="single" w:sz="8" w:space="0" w:color="FFFFFF" w:themeColor="background1"/>
            </w:tcBorders>
            <w:shd w:val="clear" w:color="auto" w:fill="B8CCE4" w:themeFill="accent1" w:themeFillTint="66"/>
          </w:tcPr>
          <w:p w14:paraId="1F80563F" w14:textId="67512F0A" w:rsidR="00B311A7" w:rsidRPr="00692708" w:rsidRDefault="00B311A7" w:rsidP="004972F2">
            <w:pPr>
              <w:jc w:val="center"/>
              <w:rPr>
                <w:rFonts w:ascii="Century Gothic" w:hAnsi="Century Gothic"/>
                <w:i/>
                <w:color w:val="FF0000"/>
                <w:sz w:val="18"/>
                <w:szCs w:val="18"/>
                <w:lang w:val="en-US"/>
              </w:rPr>
            </w:pPr>
            <w:r w:rsidRPr="00523824">
              <w:rPr>
                <w:rFonts w:ascii="Century Gothic" w:hAnsi="Century Gothic"/>
                <w:b/>
                <w:bCs/>
                <w:sz w:val="18"/>
                <w:szCs w:val="18"/>
                <w:lang w:val="en-GB"/>
              </w:rPr>
              <w:t>Procedure to verify due diligence and security considerations</w:t>
            </w:r>
          </w:p>
        </w:tc>
        <w:tc>
          <w:tcPr>
            <w:tcW w:w="550" w:type="pct"/>
            <w:tcBorders>
              <w:bottom w:val="single" w:sz="8" w:space="0" w:color="FFFFFF" w:themeColor="background1"/>
            </w:tcBorders>
            <w:shd w:val="clear" w:color="auto" w:fill="B8CCE4" w:themeFill="accent1" w:themeFillTint="66"/>
          </w:tcPr>
          <w:p w14:paraId="1E5CFAB0" w14:textId="4C4E38F1" w:rsidR="00B311A7" w:rsidRPr="0069748F" w:rsidRDefault="00B311A7" w:rsidP="0069748F">
            <w:pPr>
              <w:jc w:val="center"/>
              <w:rPr>
                <w:rFonts w:ascii="Century Gothic" w:hAnsi="Century Gothic"/>
                <w:b/>
                <w:bCs/>
                <w:sz w:val="18"/>
                <w:szCs w:val="18"/>
                <w:lang w:val="en-GB"/>
              </w:rPr>
            </w:pPr>
            <w:r w:rsidRPr="00BF2E9C">
              <w:rPr>
                <w:rFonts w:ascii="Century Gothic" w:hAnsi="Century Gothic"/>
                <w:b/>
                <w:bCs/>
                <w:sz w:val="18"/>
                <w:szCs w:val="18"/>
                <w:lang w:val="en-GB"/>
              </w:rPr>
              <w:t>Competent authorities</w:t>
            </w:r>
            <w:r w:rsidR="00CE0FFD">
              <w:rPr>
                <w:rFonts w:ascii="Century Gothic" w:hAnsi="Century Gothic"/>
                <w:b/>
                <w:bCs/>
                <w:sz w:val="18"/>
                <w:szCs w:val="18"/>
                <w:lang w:val="en-GB"/>
              </w:rPr>
              <w:t xml:space="preserve"> and non-public bodies</w:t>
            </w:r>
          </w:p>
        </w:tc>
        <w:tc>
          <w:tcPr>
            <w:tcW w:w="511" w:type="pct"/>
            <w:tcBorders>
              <w:bottom w:val="single" w:sz="8" w:space="0" w:color="FFFFFF" w:themeColor="background1"/>
            </w:tcBorders>
            <w:shd w:val="clear" w:color="auto" w:fill="B8CCE4" w:themeFill="accent1" w:themeFillTint="66"/>
          </w:tcPr>
          <w:p w14:paraId="700A0482" w14:textId="77777777" w:rsidR="00B311A7" w:rsidRPr="00523824" w:rsidRDefault="00B311A7" w:rsidP="00CE0FFD">
            <w:pPr>
              <w:jc w:val="center"/>
              <w:rPr>
                <w:rFonts w:ascii="Century Gothic" w:hAnsi="Century Gothic"/>
                <w:b/>
                <w:bCs/>
                <w:sz w:val="18"/>
                <w:szCs w:val="18"/>
                <w:lang w:val="en-GB"/>
              </w:rPr>
            </w:pPr>
            <w:r w:rsidRPr="00523824">
              <w:rPr>
                <w:rFonts w:ascii="Century Gothic" w:hAnsi="Century Gothic"/>
                <w:b/>
                <w:bCs/>
                <w:sz w:val="18"/>
                <w:szCs w:val="18"/>
                <w:lang w:val="en-GB"/>
              </w:rPr>
              <w:t>Ex-post checks</w:t>
            </w:r>
          </w:p>
          <w:p w14:paraId="4B5BCF82" w14:textId="77777777" w:rsidR="00B311A7" w:rsidRPr="00523824" w:rsidRDefault="00B311A7" w:rsidP="00CE0FFD">
            <w:pPr>
              <w:rPr>
                <w:rFonts w:ascii="Century Gothic" w:hAnsi="Century Gothic"/>
                <w:b/>
                <w:bCs/>
                <w:sz w:val="18"/>
                <w:szCs w:val="18"/>
                <w:lang w:val="en-GB"/>
              </w:rPr>
            </w:pPr>
          </w:p>
          <w:p w14:paraId="12F9CC44" w14:textId="2441A389" w:rsidR="00B311A7" w:rsidRPr="00523824" w:rsidRDefault="00B311A7" w:rsidP="0069748F">
            <w:pPr>
              <w:pStyle w:val="ListParagraph"/>
              <w:ind w:left="333"/>
              <w:contextualSpacing w:val="0"/>
              <w:jc w:val="left"/>
              <w:rPr>
                <w:rFonts w:ascii="Century Gothic" w:hAnsi="Century Gothic"/>
                <w:b/>
                <w:bCs/>
                <w:sz w:val="18"/>
                <w:szCs w:val="18"/>
              </w:rPr>
            </w:pPr>
          </w:p>
        </w:tc>
      </w:tr>
      <w:tr w:rsidR="00B90B81" w:rsidRPr="00523824" w14:paraId="137E1A17" w14:textId="77777777" w:rsidTr="00D5394E">
        <w:tc>
          <w:tcPr>
            <w:tcW w:w="5000" w:type="pct"/>
            <w:gridSpan w:val="4"/>
            <w:shd w:val="clear" w:color="auto" w:fill="B6DDE8" w:themeFill="accent5" w:themeFillTint="66"/>
          </w:tcPr>
          <w:p w14:paraId="689ABE29" w14:textId="29586E4F" w:rsidR="00B90B81" w:rsidRPr="00523824" w:rsidRDefault="00B90B81" w:rsidP="00D5394E">
            <w:pPr>
              <w:jc w:val="both"/>
              <w:rPr>
                <w:rFonts w:ascii="Century Gothic" w:hAnsi="Century Gothic"/>
                <w:b/>
                <w:bCs/>
                <w:sz w:val="18"/>
                <w:szCs w:val="18"/>
                <w:lang w:val="en-GB"/>
              </w:rPr>
            </w:pPr>
            <w:r>
              <w:rPr>
                <w:rFonts w:ascii="Century Gothic" w:hAnsi="Century Gothic"/>
                <w:b/>
                <w:bCs/>
                <w:sz w:val="18"/>
                <w:szCs w:val="18"/>
                <w:lang w:val="en-GB"/>
              </w:rPr>
              <w:t>MRVP</w:t>
            </w:r>
          </w:p>
        </w:tc>
      </w:tr>
      <w:tr w:rsidR="00692708" w:rsidRPr="006B5ED7" w14:paraId="570030A9" w14:textId="77777777" w:rsidTr="00FA6357">
        <w:tc>
          <w:tcPr>
            <w:tcW w:w="2989" w:type="pct"/>
            <w:tcBorders>
              <w:bottom w:val="single" w:sz="8" w:space="0" w:color="FFFFFF" w:themeColor="background1"/>
            </w:tcBorders>
            <w:shd w:val="clear" w:color="auto" w:fill="F2F2F2" w:themeFill="background1" w:themeFillShade="F2"/>
          </w:tcPr>
          <w:p w14:paraId="55E4D31B" w14:textId="7AED2AAA" w:rsidR="00EB4628" w:rsidRPr="0044090D" w:rsidRDefault="00EB4628" w:rsidP="00EB4628">
            <w:pPr>
              <w:jc w:val="both"/>
              <w:rPr>
                <w:rFonts w:ascii="Century Gothic" w:hAnsi="Century Gothic"/>
                <w:bCs/>
                <w:sz w:val="18"/>
                <w:szCs w:val="18"/>
                <w:lang w:val="en-GB"/>
              </w:rPr>
            </w:pPr>
            <w:r w:rsidRPr="0044090D">
              <w:rPr>
                <w:rFonts w:ascii="Century Gothic" w:hAnsi="Century Gothic"/>
                <w:bCs/>
                <w:sz w:val="18"/>
                <w:szCs w:val="18"/>
                <w:lang w:val="en-GB"/>
              </w:rPr>
              <w:t xml:space="preserve">Regulation </w:t>
            </w:r>
            <w:r>
              <w:rPr>
                <w:rFonts w:ascii="Century Gothic" w:hAnsi="Century Gothic"/>
                <w:bCs/>
                <w:sz w:val="18"/>
                <w:szCs w:val="18"/>
                <w:lang w:val="en-GB"/>
              </w:rPr>
              <w:t>7</w:t>
            </w:r>
            <w:r w:rsidRPr="0044090D">
              <w:rPr>
                <w:rFonts w:ascii="Century Gothic" w:hAnsi="Century Gothic"/>
                <w:bCs/>
                <w:sz w:val="18"/>
                <w:szCs w:val="18"/>
                <w:lang w:val="en-GB"/>
              </w:rPr>
              <w:t xml:space="preserve"> of </w:t>
            </w:r>
            <w:r>
              <w:rPr>
                <w:rFonts w:ascii="Century Gothic" w:hAnsi="Century Gothic"/>
                <w:bCs/>
                <w:sz w:val="18"/>
                <w:szCs w:val="18"/>
                <w:lang w:val="en-GB"/>
              </w:rPr>
              <w:t xml:space="preserve">LN 288/2015 provides the </w:t>
            </w:r>
            <w:r w:rsidRPr="0044090D">
              <w:rPr>
                <w:rFonts w:ascii="Century Gothic" w:hAnsi="Century Gothic"/>
                <w:bCs/>
                <w:sz w:val="18"/>
                <w:szCs w:val="18"/>
                <w:lang w:val="en-GB"/>
              </w:rPr>
              <w:t xml:space="preserve">eligibility criteria for </w:t>
            </w:r>
            <w:r w:rsidR="00707C41">
              <w:rPr>
                <w:rFonts w:ascii="Century Gothic" w:hAnsi="Century Gothic"/>
                <w:bCs/>
                <w:sz w:val="18"/>
                <w:szCs w:val="18"/>
                <w:lang w:val="en-GB"/>
              </w:rPr>
              <w:t xml:space="preserve">MRVP </w:t>
            </w:r>
            <w:r w:rsidRPr="0044090D">
              <w:rPr>
                <w:rFonts w:ascii="Century Gothic" w:hAnsi="Century Gothic"/>
                <w:bCs/>
                <w:sz w:val="18"/>
                <w:szCs w:val="18"/>
                <w:lang w:val="en-GB"/>
              </w:rPr>
              <w:t xml:space="preserve">applications. In addition to the qualifications and general requirements set out in Regulation </w:t>
            </w:r>
            <w:r>
              <w:rPr>
                <w:rFonts w:ascii="Century Gothic" w:hAnsi="Century Gothic"/>
                <w:bCs/>
                <w:sz w:val="18"/>
                <w:szCs w:val="18"/>
                <w:lang w:val="en-GB"/>
              </w:rPr>
              <w:t>6</w:t>
            </w:r>
            <w:r w:rsidRPr="0044090D">
              <w:rPr>
                <w:rFonts w:ascii="Century Gothic" w:hAnsi="Century Gothic"/>
                <w:bCs/>
                <w:sz w:val="18"/>
                <w:szCs w:val="18"/>
                <w:lang w:val="en-GB"/>
              </w:rPr>
              <w:t xml:space="preserve"> (see </w:t>
            </w:r>
            <w:r w:rsidR="00862896">
              <w:rPr>
                <w:rFonts w:ascii="Century Gothic" w:hAnsi="Century Gothic"/>
                <w:bCs/>
                <w:sz w:val="18"/>
                <w:szCs w:val="18"/>
                <w:lang w:val="en-GB"/>
              </w:rPr>
              <w:t>point</w:t>
            </w:r>
            <w:r w:rsidRPr="0044090D">
              <w:rPr>
                <w:rFonts w:ascii="Century Gothic" w:hAnsi="Century Gothic"/>
                <w:bCs/>
                <w:sz w:val="18"/>
                <w:szCs w:val="18"/>
                <w:lang w:val="en-GB"/>
              </w:rPr>
              <w:t xml:space="preserve"> 1.1 </w:t>
            </w:r>
            <w:r w:rsidR="00862896">
              <w:rPr>
                <w:rFonts w:ascii="Century Gothic" w:hAnsi="Century Gothic"/>
                <w:bCs/>
                <w:sz w:val="18"/>
                <w:szCs w:val="18"/>
                <w:lang w:val="en-GB"/>
              </w:rPr>
              <w:t xml:space="preserve">of Section II </w:t>
            </w:r>
            <w:r w:rsidRPr="0044090D">
              <w:rPr>
                <w:rFonts w:ascii="Century Gothic" w:hAnsi="Century Gothic"/>
                <w:bCs/>
                <w:sz w:val="18"/>
                <w:szCs w:val="18"/>
                <w:lang w:val="en-GB"/>
              </w:rPr>
              <w:t xml:space="preserve">above), </w:t>
            </w:r>
            <w:r w:rsidRPr="00CB788C">
              <w:rPr>
                <w:rFonts w:ascii="Century Gothic" w:hAnsi="Century Gothic"/>
                <w:b/>
                <w:bCs/>
                <w:sz w:val="18"/>
                <w:szCs w:val="18"/>
                <w:lang w:val="en-GB"/>
              </w:rPr>
              <w:t xml:space="preserve">the </w:t>
            </w:r>
            <w:r>
              <w:rPr>
                <w:rFonts w:ascii="Century Gothic" w:hAnsi="Century Gothic"/>
                <w:b/>
                <w:bCs/>
                <w:sz w:val="18"/>
                <w:szCs w:val="18"/>
                <w:lang w:val="en-GB"/>
              </w:rPr>
              <w:t xml:space="preserve">main </w:t>
            </w:r>
            <w:r w:rsidRPr="00CB788C">
              <w:rPr>
                <w:rFonts w:ascii="Century Gothic" w:hAnsi="Century Gothic"/>
                <w:b/>
                <w:bCs/>
                <w:sz w:val="18"/>
                <w:szCs w:val="18"/>
                <w:lang w:val="en-GB"/>
              </w:rPr>
              <w:t>applicant and any of his/her dependants are subject to a number of checks</w:t>
            </w:r>
            <w:r w:rsidRPr="0044090D">
              <w:rPr>
                <w:rFonts w:ascii="Century Gothic" w:hAnsi="Century Gothic"/>
                <w:bCs/>
                <w:sz w:val="18"/>
                <w:szCs w:val="18"/>
                <w:lang w:val="en-GB"/>
              </w:rPr>
              <w:t>:</w:t>
            </w:r>
          </w:p>
          <w:p w14:paraId="173E3E2E" w14:textId="1A0191B5" w:rsidR="00EB4628" w:rsidRPr="0044090D" w:rsidRDefault="00EB4628" w:rsidP="00DA0FED">
            <w:pPr>
              <w:pStyle w:val="ListParagraph"/>
              <w:numPr>
                <w:ilvl w:val="0"/>
                <w:numId w:val="13"/>
              </w:numPr>
              <w:rPr>
                <w:rFonts w:ascii="Century Gothic" w:hAnsi="Century Gothic"/>
                <w:bCs/>
                <w:sz w:val="18"/>
                <w:szCs w:val="18"/>
              </w:rPr>
            </w:pPr>
            <w:r w:rsidRPr="0044090D">
              <w:rPr>
                <w:rFonts w:ascii="Century Gothic" w:hAnsi="Century Gothic"/>
                <w:bCs/>
                <w:sz w:val="18"/>
                <w:szCs w:val="18"/>
              </w:rPr>
              <w:t xml:space="preserve">A proper background verification of the </w:t>
            </w:r>
            <w:r>
              <w:rPr>
                <w:rFonts w:ascii="Century Gothic" w:hAnsi="Century Gothic"/>
                <w:bCs/>
                <w:sz w:val="18"/>
                <w:szCs w:val="18"/>
              </w:rPr>
              <w:t xml:space="preserve">main </w:t>
            </w:r>
            <w:r w:rsidRPr="0044090D">
              <w:rPr>
                <w:rFonts w:ascii="Century Gothic" w:hAnsi="Century Gothic"/>
                <w:bCs/>
                <w:sz w:val="18"/>
                <w:szCs w:val="18"/>
              </w:rPr>
              <w:t>applicant and his dependants</w:t>
            </w:r>
            <w:r>
              <w:rPr>
                <w:rFonts w:ascii="Century Gothic" w:hAnsi="Century Gothic"/>
                <w:bCs/>
                <w:sz w:val="18"/>
                <w:szCs w:val="18"/>
              </w:rPr>
              <w:t xml:space="preserve"> over 14</w:t>
            </w:r>
            <w:r w:rsidRPr="0044090D">
              <w:rPr>
                <w:rFonts w:ascii="Century Gothic" w:hAnsi="Century Gothic"/>
                <w:bCs/>
                <w:sz w:val="18"/>
                <w:szCs w:val="18"/>
              </w:rPr>
              <w:t xml:space="preserve"> years of age;</w:t>
            </w:r>
          </w:p>
          <w:p w14:paraId="49E42A1A" w14:textId="1EE2C980" w:rsidR="00EB4628" w:rsidRDefault="00EB4628" w:rsidP="00DA0FED">
            <w:pPr>
              <w:pStyle w:val="ListParagraph"/>
              <w:numPr>
                <w:ilvl w:val="0"/>
                <w:numId w:val="13"/>
              </w:numPr>
              <w:rPr>
                <w:rFonts w:ascii="Century Gothic" w:hAnsi="Century Gothic"/>
                <w:bCs/>
                <w:sz w:val="18"/>
                <w:szCs w:val="18"/>
              </w:rPr>
            </w:pPr>
            <w:r w:rsidRPr="0044090D">
              <w:rPr>
                <w:rFonts w:ascii="Century Gothic" w:hAnsi="Century Gothic"/>
                <w:bCs/>
                <w:sz w:val="18"/>
                <w:szCs w:val="18"/>
              </w:rPr>
              <w:t>A police certificate</w:t>
            </w:r>
            <w:r>
              <w:rPr>
                <w:rFonts w:ascii="Century Gothic" w:hAnsi="Century Gothic"/>
                <w:bCs/>
                <w:sz w:val="18"/>
                <w:szCs w:val="18"/>
              </w:rPr>
              <w:t xml:space="preserve"> in relation to the main applicant and any dependant over 14 years of age,</w:t>
            </w:r>
            <w:r w:rsidRPr="0044090D">
              <w:rPr>
                <w:rFonts w:ascii="Century Gothic" w:hAnsi="Century Gothic"/>
                <w:bCs/>
                <w:sz w:val="18"/>
                <w:szCs w:val="18"/>
              </w:rPr>
              <w:t xml:space="preserve"> issued by the competent authorities in the country of origin and in the country or countries of residence where the </w:t>
            </w:r>
            <w:r>
              <w:rPr>
                <w:rFonts w:ascii="Century Gothic" w:hAnsi="Century Gothic"/>
                <w:bCs/>
                <w:sz w:val="18"/>
                <w:szCs w:val="18"/>
              </w:rPr>
              <w:t xml:space="preserve">person </w:t>
            </w:r>
            <w:r w:rsidRPr="0044090D">
              <w:rPr>
                <w:rFonts w:ascii="Century Gothic" w:hAnsi="Century Gothic"/>
                <w:bCs/>
                <w:sz w:val="18"/>
                <w:szCs w:val="18"/>
              </w:rPr>
              <w:t xml:space="preserve">has resided for more than six months during the last ten years, or in exceptional </w:t>
            </w:r>
            <w:r>
              <w:rPr>
                <w:rFonts w:ascii="Century Gothic" w:hAnsi="Century Gothic"/>
                <w:bCs/>
                <w:sz w:val="18"/>
                <w:szCs w:val="18"/>
              </w:rPr>
              <w:t xml:space="preserve">cases, </w:t>
            </w:r>
            <w:r w:rsidRPr="0044090D">
              <w:rPr>
                <w:rFonts w:ascii="Century Gothic" w:hAnsi="Century Gothic"/>
                <w:bCs/>
                <w:sz w:val="18"/>
                <w:szCs w:val="18"/>
              </w:rPr>
              <w:t>where it is</w:t>
            </w:r>
            <w:r>
              <w:rPr>
                <w:rFonts w:ascii="Century Gothic" w:hAnsi="Century Gothic"/>
                <w:bCs/>
                <w:sz w:val="18"/>
                <w:szCs w:val="18"/>
              </w:rPr>
              <w:t xml:space="preserve"> prove</w:t>
            </w:r>
            <w:r w:rsidRPr="0044090D">
              <w:rPr>
                <w:rFonts w:ascii="Century Gothic" w:hAnsi="Century Gothic"/>
                <w:bCs/>
                <w:sz w:val="18"/>
                <w:szCs w:val="18"/>
              </w:rPr>
              <w:t>d to the</w:t>
            </w:r>
            <w:r w:rsidR="00862896">
              <w:rPr>
                <w:rFonts w:ascii="Century Gothic" w:hAnsi="Century Gothic"/>
                <w:bCs/>
                <w:sz w:val="18"/>
                <w:szCs w:val="18"/>
              </w:rPr>
              <w:t xml:space="preserve"> MRVA’s </w:t>
            </w:r>
            <w:r w:rsidRPr="0044090D">
              <w:rPr>
                <w:rFonts w:ascii="Century Gothic" w:hAnsi="Century Gothic"/>
                <w:bCs/>
                <w:sz w:val="18"/>
                <w:szCs w:val="18"/>
              </w:rPr>
              <w:t xml:space="preserve">satisfaction that such a certificate is not obtainable, a sworn affidavit by the </w:t>
            </w:r>
            <w:r>
              <w:rPr>
                <w:rFonts w:ascii="Century Gothic" w:hAnsi="Century Gothic"/>
                <w:bCs/>
                <w:sz w:val="18"/>
                <w:szCs w:val="18"/>
              </w:rPr>
              <w:t xml:space="preserve">main </w:t>
            </w:r>
            <w:r w:rsidRPr="0044090D">
              <w:rPr>
                <w:rFonts w:ascii="Century Gothic" w:hAnsi="Century Gothic"/>
                <w:bCs/>
                <w:sz w:val="18"/>
                <w:szCs w:val="18"/>
              </w:rPr>
              <w:t xml:space="preserve">applicant </w:t>
            </w:r>
            <w:r>
              <w:rPr>
                <w:rFonts w:ascii="Century Gothic" w:hAnsi="Century Gothic"/>
                <w:bCs/>
                <w:sz w:val="18"/>
                <w:szCs w:val="18"/>
              </w:rPr>
              <w:t>(on his own behalf or on behalf of each minor dependant over 14 years of age) and any adult dependant on his own behalf, declaring a clean criminal record</w:t>
            </w:r>
            <w:r w:rsidRPr="0044090D">
              <w:rPr>
                <w:rFonts w:ascii="Century Gothic" w:hAnsi="Century Gothic"/>
                <w:bCs/>
                <w:sz w:val="18"/>
                <w:szCs w:val="18"/>
              </w:rPr>
              <w:t>;</w:t>
            </w:r>
            <w:r>
              <w:rPr>
                <w:rFonts w:ascii="Century Gothic" w:hAnsi="Century Gothic"/>
                <w:bCs/>
                <w:sz w:val="18"/>
                <w:szCs w:val="18"/>
              </w:rPr>
              <w:t xml:space="preserve"> in certain circumstances the MRVA may accept that such certificates are submitted at a later date but in any case before the application is approved in principle;</w:t>
            </w:r>
          </w:p>
          <w:p w14:paraId="5CD0F65B" w14:textId="17981EBE" w:rsidR="00EB4628" w:rsidRPr="0044090D" w:rsidRDefault="00EB4628" w:rsidP="00DA0FED">
            <w:pPr>
              <w:pStyle w:val="ListParagraph"/>
              <w:numPr>
                <w:ilvl w:val="0"/>
                <w:numId w:val="13"/>
              </w:numPr>
              <w:rPr>
                <w:rFonts w:ascii="Century Gothic" w:hAnsi="Century Gothic"/>
                <w:bCs/>
                <w:sz w:val="18"/>
                <w:szCs w:val="18"/>
              </w:rPr>
            </w:pPr>
            <w:r>
              <w:rPr>
                <w:rFonts w:ascii="Century Gothic" w:hAnsi="Century Gothic"/>
                <w:bCs/>
                <w:sz w:val="18"/>
                <w:szCs w:val="18"/>
              </w:rPr>
              <w:t>Verification that the main applicant and/or any dependants are not individuals indicted before or who appeared at any time before an International Criminal Court;</w:t>
            </w:r>
          </w:p>
          <w:p w14:paraId="512FF48C" w14:textId="4F90E360" w:rsidR="00EB4628" w:rsidRPr="0044090D" w:rsidRDefault="00EB4628" w:rsidP="00DA0FED">
            <w:pPr>
              <w:pStyle w:val="ListParagraph"/>
              <w:numPr>
                <w:ilvl w:val="0"/>
                <w:numId w:val="13"/>
              </w:numPr>
              <w:rPr>
                <w:rFonts w:ascii="Century Gothic" w:hAnsi="Century Gothic"/>
                <w:bCs/>
                <w:sz w:val="18"/>
                <w:szCs w:val="18"/>
              </w:rPr>
            </w:pPr>
            <w:r w:rsidRPr="0044090D">
              <w:rPr>
                <w:rFonts w:ascii="Century Gothic" w:hAnsi="Century Gothic"/>
                <w:bCs/>
                <w:sz w:val="18"/>
                <w:szCs w:val="18"/>
              </w:rPr>
              <w:t xml:space="preserve">Verification that the </w:t>
            </w:r>
            <w:r>
              <w:rPr>
                <w:rFonts w:ascii="Century Gothic" w:hAnsi="Century Gothic"/>
                <w:bCs/>
                <w:sz w:val="18"/>
                <w:szCs w:val="18"/>
              </w:rPr>
              <w:t xml:space="preserve">main </w:t>
            </w:r>
            <w:r w:rsidRPr="0044090D">
              <w:rPr>
                <w:rFonts w:ascii="Century Gothic" w:hAnsi="Century Gothic"/>
                <w:bCs/>
                <w:sz w:val="18"/>
                <w:szCs w:val="18"/>
              </w:rPr>
              <w:t xml:space="preserve">applicant and/or any dependants are not listed with INTERPOL at the time of application. Checks in other EU or international databases are not required by LN </w:t>
            </w:r>
            <w:r>
              <w:rPr>
                <w:rFonts w:ascii="Century Gothic" w:hAnsi="Century Gothic"/>
                <w:bCs/>
                <w:sz w:val="18"/>
                <w:szCs w:val="18"/>
              </w:rPr>
              <w:t>288/2015</w:t>
            </w:r>
            <w:r w:rsidRPr="0044090D">
              <w:rPr>
                <w:rFonts w:ascii="Century Gothic" w:hAnsi="Century Gothic"/>
                <w:bCs/>
                <w:sz w:val="18"/>
                <w:szCs w:val="18"/>
              </w:rPr>
              <w:t>;</w:t>
            </w:r>
          </w:p>
          <w:p w14:paraId="37C5752D" w14:textId="046FAA94" w:rsidR="00EB4628" w:rsidRPr="0044090D" w:rsidRDefault="00EB4628" w:rsidP="00DA0FED">
            <w:pPr>
              <w:pStyle w:val="ListParagraph"/>
              <w:numPr>
                <w:ilvl w:val="0"/>
                <w:numId w:val="13"/>
              </w:numPr>
              <w:rPr>
                <w:rFonts w:ascii="Century Gothic" w:hAnsi="Century Gothic"/>
                <w:bCs/>
                <w:sz w:val="18"/>
                <w:szCs w:val="18"/>
              </w:rPr>
            </w:pPr>
            <w:r w:rsidRPr="0044090D">
              <w:rPr>
                <w:rFonts w:ascii="Century Gothic" w:hAnsi="Century Gothic"/>
                <w:bCs/>
                <w:sz w:val="18"/>
                <w:szCs w:val="18"/>
              </w:rPr>
              <w:t>Verification that the</w:t>
            </w:r>
            <w:r>
              <w:rPr>
                <w:rFonts w:ascii="Century Gothic" w:hAnsi="Century Gothic"/>
                <w:bCs/>
                <w:sz w:val="18"/>
                <w:szCs w:val="18"/>
              </w:rPr>
              <w:t xml:space="preserve"> main</w:t>
            </w:r>
            <w:r w:rsidRPr="0044090D">
              <w:rPr>
                <w:rFonts w:ascii="Century Gothic" w:hAnsi="Century Gothic"/>
                <w:bCs/>
                <w:sz w:val="18"/>
                <w:szCs w:val="18"/>
              </w:rPr>
              <w:t xml:space="preserve"> </w:t>
            </w:r>
            <w:r>
              <w:rPr>
                <w:rFonts w:ascii="Century Gothic" w:hAnsi="Century Gothic"/>
                <w:bCs/>
                <w:sz w:val="18"/>
                <w:szCs w:val="18"/>
              </w:rPr>
              <w:t>applicant and/or any dependant</w:t>
            </w:r>
            <w:r w:rsidRPr="0044090D">
              <w:rPr>
                <w:rFonts w:ascii="Century Gothic" w:hAnsi="Century Gothic"/>
                <w:bCs/>
                <w:sz w:val="18"/>
                <w:szCs w:val="18"/>
              </w:rPr>
              <w:t xml:space="preserve"> is not, or may not be a potential threat to national security, public policy or public health;</w:t>
            </w:r>
          </w:p>
          <w:p w14:paraId="2D2D22C7" w14:textId="028E0516" w:rsidR="00EB4628" w:rsidRPr="0044090D" w:rsidRDefault="00EB4628" w:rsidP="00DA0FED">
            <w:pPr>
              <w:pStyle w:val="ListParagraph"/>
              <w:numPr>
                <w:ilvl w:val="0"/>
                <w:numId w:val="13"/>
              </w:numPr>
              <w:rPr>
                <w:rFonts w:ascii="Century Gothic" w:hAnsi="Century Gothic"/>
                <w:bCs/>
                <w:sz w:val="18"/>
                <w:szCs w:val="18"/>
              </w:rPr>
            </w:pPr>
            <w:r w:rsidRPr="0044090D">
              <w:rPr>
                <w:rFonts w:ascii="Century Gothic" w:hAnsi="Century Gothic"/>
                <w:bCs/>
                <w:sz w:val="18"/>
                <w:szCs w:val="18"/>
              </w:rPr>
              <w:t xml:space="preserve">The </w:t>
            </w:r>
            <w:r>
              <w:rPr>
                <w:rFonts w:ascii="Century Gothic" w:hAnsi="Century Gothic"/>
                <w:bCs/>
                <w:sz w:val="18"/>
                <w:szCs w:val="18"/>
              </w:rPr>
              <w:t xml:space="preserve">main </w:t>
            </w:r>
            <w:r w:rsidRPr="0044090D">
              <w:rPr>
                <w:rFonts w:ascii="Century Gothic" w:hAnsi="Century Gothic"/>
                <w:bCs/>
                <w:sz w:val="18"/>
                <w:szCs w:val="18"/>
              </w:rPr>
              <w:t>applicant and/or dependants must not</w:t>
            </w:r>
            <w:r>
              <w:rPr>
                <w:rFonts w:ascii="Century Gothic" w:hAnsi="Century Gothic"/>
                <w:bCs/>
                <w:sz w:val="18"/>
                <w:szCs w:val="18"/>
              </w:rPr>
              <w:t xml:space="preserve"> at any time have</w:t>
            </w:r>
            <w:r w:rsidRPr="0044090D">
              <w:rPr>
                <w:rFonts w:ascii="Century Gothic" w:hAnsi="Century Gothic"/>
                <w:bCs/>
                <w:sz w:val="18"/>
                <w:szCs w:val="18"/>
              </w:rPr>
              <w:t xml:space="preserve"> ha</w:t>
            </w:r>
            <w:r>
              <w:rPr>
                <w:rFonts w:ascii="Century Gothic" w:hAnsi="Century Gothic"/>
                <w:bCs/>
                <w:sz w:val="18"/>
                <w:szCs w:val="18"/>
              </w:rPr>
              <w:t>d</w:t>
            </w:r>
            <w:r w:rsidRPr="0044090D">
              <w:rPr>
                <w:rFonts w:ascii="Century Gothic" w:hAnsi="Century Gothic"/>
                <w:bCs/>
                <w:sz w:val="18"/>
                <w:szCs w:val="18"/>
              </w:rPr>
              <w:t xml:space="preserve"> pending charges or have been found guilty of crimes related to terrorism, money laundering, funding of terrorism, crimes against humanity, war crimes, or crimes that infringe upon protection of human rights and fundamental freedoms;</w:t>
            </w:r>
          </w:p>
          <w:p w14:paraId="379C078E" w14:textId="149712CE" w:rsidR="00EB4628" w:rsidRPr="0044090D" w:rsidRDefault="00EB4628" w:rsidP="00DA0FED">
            <w:pPr>
              <w:pStyle w:val="ListParagraph"/>
              <w:numPr>
                <w:ilvl w:val="0"/>
                <w:numId w:val="13"/>
              </w:numPr>
              <w:rPr>
                <w:rFonts w:ascii="Century Gothic" w:hAnsi="Century Gothic"/>
                <w:bCs/>
                <w:sz w:val="18"/>
                <w:szCs w:val="18"/>
              </w:rPr>
            </w:pPr>
            <w:r w:rsidRPr="0044090D">
              <w:rPr>
                <w:rFonts w:ascii="Century Gothic" w:hAnsi="Century Gothic"/>
                <w:bCs/>
                <w:sz w:val="18"/>
                <w:szCs w:val="18"/>
              </w:rPr>
              <w:t xml:space="preserve">The </w:t>
            </w:r>
            <w:r>
              <w:rPr>
                <w:rFonts w:ascii="Century Gothic" w:hAnsi="Century Gothic"/>
                <w:bCs/>
                <w:sz w:val="18"/>
                <w:szCs w:val="18"/>
              </w:rPr>
              <w:t xml:space="preserve">main </w:t>
            </w:r>
            <w:r w:rsidRPr="0044090D">
              <w:rPr>
                <w:rFonts w:ascii="Century Gothic" w:hAnsi="Century Gothic"/>
                <w:bCs/>
                <w:sz w:val="18"/>
                <w:szCs w:val="18"/>
              </w:rPr>
              <w:t>applicant and/or dependants must not have been found guilty or have charges against them regarding any crimes that disturb the good order of the family including, without limitation, paedophilia, defilement of minors, rape, violent indecent assault, inducing minors to prostitution and abduction;</w:t>
            </w:r>
          </w:p>
          <w:p w14:paraId="77DAB590" w14:textId="316B03C7" w:rsidR="00EB4628" w:rsidRPr="0044090D" w:rsidRDefault="00EB4628" w:rsidP="00DA0FED">
            <w:pPr>
              <w:pStyle w:val="ListParagraph"/>
              <w:numPr>
                <w:ilvl w:val="0"/>
                <w:numId w:val="13"/>
              </w:numPr>
              <w:rPr>
                <w:rFonts w:ascii="Century Gothic" w:hAnsi="Century Gothic"/>
                <w:bCs/>
                <w:sz w:val="18"/>
                <w:szCs w:val="18"/>
              </w:rPr>
            </w:pPr>
            <w:r w:rsidRPr="0044090D">
              <w:rPr>
                <w:rFonts w:ascii="Century Gothic" w:hAnsi="Century Gothic"/>
                <w:bCs/>
                <w:sz w:val="18"/>
                <w:szCs w:val="18"/>
              </w:rPr>
              <w:lastRenderedPageBreak/>
              <w:t xml:space="preserve">The </w:t>
            </w:r>
            <w:r>
              <w:rPr>
                <w:rFonts w:ascii="Century Gothic" w:hAnsi="Century Gothic"/>
                <w:bCs/>
                <w:sz w:val="18"/>
                <w:szCs w:val="18"/>
              </w:rPr>
              <w:t xml:space="preserve">main </w:t>
            </w:r>
            <w:r w:rsidRPr="0044090D">
              <w:rPr>
                <w:rFonts w:ascii="Century Gothic" w:hAnsi="Century Gothic"/>
                <w:bCs/>
                <w:sz w:val="18"/>
                <w:szCs w:val="18"/>
              </w:rPr>
              <w:t xml:space="preserve">applicant and/or dependants must not have been found guilty or be in the process of being interrogated and suspected, </w:t>
            </w:r>
            <w:r w:rsidR="002C01BE">
              <w:rPr>
                <w:rFonts w:ascii="Century Gothic" w:hAnsi="Century Gothic"/>
                <w:bCs/>
                <w:sz w:val="18"/>
                <w:szCs w:val="18"/>
              </w:rPr>
              <w:t>or</w:t>
            </w:r>
            <w:r w:rsidRPr="0044090D">
              <w:rPr>
                <w:rFonts w:ascii="Century Gothic" w:hAnsi="Century Gothic"/>
                <w:bCs/>
                <w:sz w:val="18"/>
                <w:szCs w:val="18"/>
              </w:rPr>
              <w:t xml:space="preserve"> have criminal charges brought against them for any crime, other than an involuntary offence, punishable with more than </w:t>
            </w:r>
            <w:r w:rsidR="002C01BE">
              <w:rPr>
                <w:rFonts w:ascii="Century Gothic" w:hAnsi="Century Gothic"/>
                <w:bCs/>
                <w:sz w:val="18"/>
                <w:szCs w:val="18"/>
              </w:rPr>
              <w:t>two years’</w:t>
            </w:r>
            <w:r w:rsidRPr="0044090D">
              <w:rPr>
                <w:rFonts w:ascii="Century Gothic" w:hAnsi="Century Gothic"/>
                <w:bCs/>
                <w:sz w:val="18"/>
                <w:szCs w:val="18"/>
              </w:rPr>
              <w:t xml:space="preserve"> imprisonment. The</w:t>
            </w:r>
            <w:r w:rsidR="002C01BE">
              <w:rPr>
                <w:rFonts w:ascii="Century Gothic" w:hAnsi="Century Gothic"/>
                <w:bCs/>
                <w:sz w:val="18"/>
                <w:szCs w:val="18"/>
              </w:rPr>
              <w:t xml:space="preserve"> main</w:t>
            </w:r>
            <w:r w:rsidRPr="0044090D">
              <w:rPr>
                <w:rFonts w:ascii="Century Gothic" w:hAnsi="Century Gothic"/>
                <w:bCs/>
                <w:sz w:val="18"/>
                <w:szCs w:val="18"/>
              </w:rPr>
              <w:t xml:space="preserve"> applicant must attach to the application a sworn declaration before a commissioner for oaths, lawyer or notary that the information provided is true and correct;</w:t>
            </w:r>
          </w:p>
          <w:p w14:paraId="16509FC2" w14:textId="77777777" w:rsidR="00862896" w:rsidRPr="008D50F9" w:rsidRDefault="00862896" w:rsidP="00862896">
            <w:pPr>
              <w:rPr>
                <w:rFonts w:ascii="Century Gothic" w:hAnsi="Century Gothic"/>
                <w:bCs/>
                <w:sz w:val="18"/>
                <w:szCs w:val="18"/>
                <w:lang w:val="en-GB"/>
              </w:rPr>
            </w:pPr>
          </w:p>
          <w:p w14:paraId="1C74537F" w14:textId="77777777" w:rsidR="00EB4628" w:rsidRPr="00862896" w:rsidRDefault="00EB4628" w:rsidP="00862896">
            <w:pPr>
              <w:jc w:val="both"/>
              <w:rPr>
                <w:rFonts w:ascii="Century Gothic" w:hAnsi="Century Gothic"/>
                <w:bCs/>
                <w:sz w:val="18"/>
                <w:szCs w:val="18"/>
                <w:lang w:val="en-GB"/>
              </w:rPr>
            </w:pPr>
            <w:r w:rsidRPr="00862896">
              <w:rPr>
                <w:rFonts w:ascii="Century Gothic" w:hAnsi="Century Gothic"/>
                <w:bCs/>
                <w:sz w:val="18"/>
                <w:szCs w:val="18"/>
                <w:lang w:val="en-GB"/>
              </w:rPr>
              <w:t>Required documents must be originals or certified copies and the persons certifying a document must provide their full name, capacity in which they are acting, residential or business address, telephone number and email address,</w:t>
            </w:r>
          </w:p>
          <w:p w14:paraId="7577DF47" w14:textId="77777777" w:rsidR="00862896" w:rsidRPr="00862896" w:rsidRDefault="00862896" w:rsidP="00862896">
            <w:pPr>
              <w:rPr>
                <w:rFonts w:ascii="Century Gothic" w:hAnsi="Century Gothic"/>
                <w:bCs/>
                <w:sz w:val="18"/>
                <w:szCs w:val="18"/>
                <w:lang w:val="en-GB"/>
              </w:rPr>
            </w:pPr>
          </w:p>
          <w:p w14:paraId="2E0D9312" w14:textId="20E42DBE" w:rsidR="00B311A7" w:rsidRDefault="002C01BE" w:rsidP="00862896">
            <w:pPr>
              <w:jc w:val="both"/>
              <w:rPr>
                <w:rFonts w:ascii="Century Gothic" w:hAnsi="Century Gothic"/>
                <w:bCs/>
                <w:sz w:val="18"/>
                <w:szCs w:val="18"/>
                <w:lang w:val="en-GB"/>
              </w:rPr>
            </w:pPr>
            <w:r w:rsidRPr="00862896">
              <w:rPr>
                <w:rFonts w:ascii="Century Gothic" w:hAnsi="Century Gothic"/>
                <w:bCs/>
                <w:sz w:val="18"/>
                <w:szCs w:val="18"/>
                <w:lang w:val="en-GB"/>
              </w:rPr>
              <w:t>The application must not be deemed to be against public interest.</w:t>
            </w:r>
            <w:r w:rsidR="00E34EC0" w:rsidRPr="00862896">
              <w:rPr>
                <w:rFonts w:ascii="Century Gothic" w:hAnsi="Century Gothic"/>
                <w:bCs/>
                <w:sz w:val="18"/>
                <w:szCs w:val="18"/>
                <w:lang w:val="en-GB"/>
              </w:rPr>
              <w:t xml:space="preserve"> Regulation 2 of LN 288/2015 defines public interest to include the interests of public safety, the protection of public order, national security, territorial integrity, public health or morals.</w:t>
            </w:r>
          </w:p>
          <w:p w14:paraId="6CBBA604" w14:textId="75DCD90B" w:rsidR="002C5F9C" w:rsidRDefault="002C5F9C" w:rsidP="00862896">
            <w:pPr>
              <w:jc w:val="both"/>
              <w:rPr>
                <w:rFonts w:ascii="Century Gothic" w:hAnsi="Century Gothic"/>
                <w:bCs/>
                <w:sz w:val="18"/>
                <w:szCs w:val="18"/>
                <w:lang w:val="en-GB"/>
              </w:rPr>
            </w:pPr>
          </w:p>
          <w:p w14:paraId="401DAD2D" w14:textId="5435FF83" w:rsidR="001C1B7A" w:rsidRDefault="002C5F9C" w:rsidP="00862896">
            <w:pPr>
              <w:jc w:val="both"/>
              <w:rPr>
                <w:rFonts w:ascii="Century Gothic" w:hAnsi="Century Gothic"/>
                <w:bCs/>
                <w:sz w:val="18"/>
                <w:szCs w:val="18"/>
                <w:lang w:val="en-GB"/>
              </w:rPr>
            </w:pPr>
            <w:r>
              <w:rPr>
                <w:rFonts w:ascii="Century Gothic" w:hAnsi="Century Gothic"/>
                <w:bCs/>
                <w:sz w:val="18"/>
                <w:szCs w:val="18"/>
                <w:lang w:val="en-GB"/>
              </w:rPr>
              <w:t xml:space="preserve">The checks described above are implemented through a </w:t>
            </w:r>
            <w:r w:rsidRPr="00692708">
              <w:rPr>
                <w:rFonts w:ascii="Century Gothic" w:hAnsi="Century Gothic"/>
                <w:b/>
                <w:bCs/>
                <w:sz w:val="18"/>
                <w:szCs w:val="18"/>
                <w:lang w:val="en-GB"/>
              </w:rPr>
              <w:t xml:space="preserve">four-tier due </w:t>
            </w:r>
            <w:r w:rsidR="004972F2" w:rsidRPr="00692708">
              <w:rPr>
                <w:rFonts w:ascii="Century Gothic" w:hAnsi="Century Gothic"/>
                <w:b/>
                <w:bCs/>
                <w:sz w:val="18"/>
                <w:szCs w:val="18"/>
                <w:lang w:val="en-GB"/>
              </w:rPr>
              <w:t>diligence</w:t>
            </w:r>
            <w:r w:rsidRPr="00692708">
              <w:rPr>
                <w:rFonts w:ascii="Century Gothic" w:hAnsi="Century Gothic"/>
                <w:b/>
                <w:bCs/>
                <w:sz w:val="18"/>
                <w:szCs w:val="18"/>
                <w:lang w:val="en-GB"/>
              </w:rPr>
              <w:t xml:space="preserve"> process</w:t>
            </w:r>
            <w:r w:rsidR="00692708" w:rsidRPr="00692708">
              <w:rPr>
                <w:rFonts w:ascii="Century Gothic" w:hAnsi="Century Gothic"/>
                <w:bCs/>
                <w:sz w:val="18"/>
                <w:szCs w:val="18"/>
                <w:lang w:val="en-GB"/>
              </w:rPr>
              <w:t>:</w:t>
            </w:r>
            <w:r w:rsidR="00F63382" w:rsidRPr="00692708">
              <w:rPr>
                <w:rStyle w:val="FootnoteReference"/>
                <w:rFonts w:ascii="Century Gothic" w:hAnsi="Century Gothic"/>
                <w:bCs/>
                <w:sz w:val="18"/>
                <w:szCs w:val="18"/>
                <w:lang w:val="en-GB"/>
              </w:rPr>
              <w:footnoteReference w:id="135"/>
            </w:r>
          </w:p>
          <w:p w14:paraId="38AC168F" w14:textId="34305BAF" w:rsidR="007845A5" w:rsidRDefault="001C1B7A" w:rsidP="007845A5">
            <w:pPr>
              <w:jc w:val="both"/>
              <w:rPr>
                <w:rFonts w:ascii="Century Gothic" w:hAnsi="Century Gothic"/>
                <w:bCs/>
                <w:sz w:val="18"/>
                <w:szCs w:val="18"/>
                <w:lang w:val="en-GB"/>
              </w:rPr>
            </w:pPr>
            <w:r>
              <w:rPr>
                <w:rFonts w:ascii="Century Gothic" w:hAnsi="Century Gothic"/>
                <w:bCs/>
                <w:sz w:val="18"/>
                <w:szCs w:val="18"/>
                <w:lang w:val="en-GB"/>
              </w:rPr>
              <w:t>(</w:t>
            </w:r>
            <w:proofErr w:type="spellStart"/>
            <w:r>
              <w:rPr>
                <w:rFonts w:ascii="Century Gothic" w:hAnsi="Century Gothic"/>
                <w:bCs/>
                <w:sz w:val="18"/>
                <w:szCs w:val="18"/>
                <w:lang w:val="en-GB"/>
              </w:rPr>
              <w:t>i</w:t>
            </w:r>
            <w:proofErr w:type="spellEnd"/>
            <w:r>
              <w:rPr>
                <w:rFonts w:ascii="Century Gothic" w:hAnsi="Century Gothic"/>
                <w:bCs/>
                <w:sz w:val="18"/>
                <w:szCs w:val="18"/>
                <w:lang w:val="en-GB"/>
              </w:rPr>
              <w:t xml:space="preserve">) </w:t>
            </w:r>
            <w:r w:rsidRPr="00692708">
              <w:rPr>
                <w:rFonts w:ascii="Century Gothic" w:hAnsi="Century Gothic"/>
                <w:bCs/>
                <w:sz w:val="18"/>
                <w:szCs w:val="18"/>
                <w:lang w:val="en-US"/>
              </w:rPr>
              <w:t>First Tier</w:t>
            </w:r>
            <w:r>
              <w:rPr>
                <w:rFonts w:ascii="Century Gothic" w:hAnsi="Century Gothic"/>
                <w:bCs/>
                <w:sz w:val="18"/>
                <w:szCs w:val="18"/>
                <w:lang w:val="en-US"/>
              </w:rPr>
              <w:t xml:space="preserve">: </w:t>
            </w:r>
            <w:r w:rsidR="002C5F9C" w:rsidRPr="00692708">
              <w:rPr>
                <w:rFonts w:ascii="Century Gothic" w:hAnsi="Century Gothic"/>
                <w:bCs/>
                <w:sz w:val="18"/>
                <w:szCs w:val="18"/>
                <w:lang w:val="en-US"/>
              </w:rPr>
              <w:t xml:space="preserve"> </w:t>
            </w:r>
            <w:r w:rsidR="007845A5">
              <w:rPr>
                <w:rFonts w:ascii="Century Gothic" w:hAnsi="Century Gothic"/>
                <w:bCs/>
                <w:sz w:val="18"/>
                <w:szCs w:val="18"/>
                <w:lang w:val="en-GB"/>
              </w:rPr>
              <w:t>the agent conducts an initial know-your-client check on the applicants and provides a declaration that there is no prior evidence that the applicants are not fit and proper persons to apply for the MRVP</w:t>
            </w:r>
          </w:p>
          <w:p w14:paraId="014A5203" w14:textId="77777777" w:rsidR="007845A5" w:rsidRDefault="007845A5" w:rsidP="007845A5">
            <w:pPr>
              <w:jc w:val="both"/>
              <w:rPr>
                <w:rFonts w:ascii="Century Gothic" w:hAnsi="Century Gothic"/>
                <w:bCs/>
                <w:sz w:val="18"/>
                <w:szCs w:val="18"/>
                <w:lang w:val="en-US"/>
              </w:rPr>
            </w:pPr>
            <w:r>
              <w:rPr>
                <w:rFonts w:ascii="Century Gothic" w:hAnsi="Century Gothic"/>
                <w:bCs/>
                <w:sz w:val="18"/>
                <w:szCs w:val="18"/>
                <w:lang w:val="en-GB"/>
              </w:rPr>
              <w:t xml:space="preserve">(ii) Second Tier: </w:t>
            </w:r>
            <w:r w:rsidRPr="007845A5">
              <w:rPr>
                <w:rFonts w:ascii="Century Gothic" w:hAnsi="Century Gothic"/>
                <w:bCs/>
                <w:sz w:val="18"/>
                <w:szCs w:val="18"/>
                <w:lang w:val="en-US"/>
              </w:rPr>
              <w:t xml:space="preserve">clearance by the police authorities through a number of databases including INTERPOL and EUROPOL who then send a report to the </w:t>
            </w:r>
            <w:r>
              <w:rPr>
                <w:rFonts w:ascii="Century Gothic" w:hAnsi="Century Gothic"/>
                <w:bCs/>
                <w:sz w:val="18"/>
                <w:szCs w:val="18"/>
                <w:lang w:val="en-US"/>
              </w:rPr>
              <w:t>MRVA</w:t>
            </w:r>
            <w:r w:rsidRPr="007845A5">
              <w:rPr>
                <w:rFonts w:ascii="Century Gothic" w:hAnsi="Century Gothic"/>
                <w:bCs/>
                <w:sz w:val="18"/>
                <w:szCs w:val="18"/>
                <w:lang w:val="en-US"/>
              </w:rPr>
              <w:t xml:space="preserve"> stating whether or not</w:t>
            </w:r>
            <w:r>
              <w:rPr>
                <w:rFonts w:ascii="Century Gothic" w:hAnsi="Century Gothic"/>
                <w:bCs/>
                <w:sz w:val="18"/>
                <w:szCs w:val="18"/>
                <w:lang w:val="en-US"/>
              </w:rPr>
              <w:t xml:space="preserve"> there are any issues with the </w:t>
            </w:r>
            <w:r w:rsidRPr="007845A5">
              <w:rPr>
                <w:rFonts w:ascii="Century Gothic" w:hAnsi="Century Gothic"/>
                <w:bCs/>
                <w:sz w:val="18"/>
                <w:szCs w:val="18"/>
                <w:lang w:val="en-US"/>
              </w:rPr>
              <w:t>applicant.</w:t>
            </w:r>
            <w:r>
              <w:rPr>
                <w:rFonts w:ascii="Century Gothic" w:hAnsi="Century Gothic"/>
                <w:bCs/>
                <w:sz w:val="18"/>
                <w:szCs w:val="18"/>
                <w:lang w:val="en-US"/>
              </w:rPr>
              <w:t xml:space="preserve"> </w:t>
            </w:r>
          </w:p>
          <w:p w14:paraId="727C040E" w14:textId="797819E9" w:rsidR="007845A5" w:rsidRDefault="007845A5" w:rsidP="007845A5">
            <w:pPr>
              <w:jc w:val="both"/>
              <w:rPr>
                <w:rFonts w:ascii="Century Gothic" w:hAnsi="Century Gothic"/>
                <w:bCs/>
                <w:sz w:val="18"/>
                <w:szCs w:val="18"/>
                <w:lang w:val="en-US"/>
              </w:rPr>
            </w:pPr>
            <w:r>
              <w:rPr>
                <w:rFonts w:ascii="Century Gothic" w:hAnsi="Century Gothic"/>
                <w:bCs/>
                <w:sz w:val="18"/>
                <w:szCs w:val="18"/>
                <w:lang w:val="en-US"/>
              </w:rPr>
              <w:t xml:space="preserve">(iii) Third Tier: </w:t>
            </w:r>
            <w:r>
              <w:rPr>
                <w:rFonts w:ascii="Century Gothic" w:hAnsi="Century Gothic"/>
                <w:bCs/>
                <w:sz w:val="18"/>
                <w:szCs w:val="18"/>
                <w:lang w:val="en-GB"/>
              </w:rPr>
              <w:t xml:space="preserve">upon receiving police clearance, all the forms and documentation provided as part of the application pack are assessed by the MRVA for completeness and correctness, including required document certification and corroboration of the information provided. In addition, the MRVA conducts an </w:t>
            </w:r>
            <w:r w:rsidRPr="007845A5">
              <w:rPr>
                <w:rFonts w:ascii="Century Gothic" w:hAnsi="Century Gothic"/>
                <w:bCs/>
                <w:sz w:val="18"/>
                <w:szCs w:val="18"/>
                <w:lang w:val="en-US"/>
              </w:rPr>
              <w:t>online due diligence check</w:t>
            </w:r>
            <w:r>
              <w:rPr>
                <w:rFonts w:ascii="Century Gothic" w:hAnsi="Century Gothic"/>
                <w:bCs/>
                <w:sz w:val="18"/>
                <w:szCs w:val="18"/>
                <w:lang w:val="en-US"/>
              </w:rPr>
              <w:t xml:space="preserve"> using third party databases.</w:t>
            </w:r>
          </w:p>
          <w:p w14:paraId="0C102CB0" w14:textId="0566F3AA" w:rsidR="007845A5" w:rsidRDefault="007845A5" w:rsidP="007845A5">
            <w:pPr>
              <w:jc w:val="both"/>
              <w:rPr>
                <w:rFonts w:ascii="Century Gothic" w:hAnsi="Century Gothic"/>
                <w:bCs/>
                <w:sz w:val="18"/>
                <w:szCs w:val="18"/>
                <w:lang w:val="en-GB"/>
              </w:rPr>
            </w:pPr>
            <w:r>
              <w:rPr>
                <w:rFonts w:ascii="Century Gothic" w:hAnsi="Century Gothic"/>
                <w:bCs/>
                <w:sz w:val="18"/>
                <w:szCs w:val="18"/>
                <w:lang w:val="en-US"/>
              </w:rPr>
              <w:t xml:space="preserve">(iv) Fourth Tier: an outsourced due diligence check by third party service providers independently appointed by the MRVA to prepare a background verification report with respect to the main applicant and any </w:t>
            </w:r>
            <w:proofErr w:type="spellStart"/>
            <w:r w:rsidR="00F63382">
              <w:rPr>
                <w:rFonts w:ascii="Century Gothic" w:hAnsi="Century Gothic"/>
                <w:bCs/>
                <w:sz w:val="18"/>
                <w:szCs w:val="18"/>
                <w:lang w:val="en-US"/>
              </w:rPr>
              <w:t>dep</w:t>
            </w:r>
            <w:r>
              <w:rPr>
                <w:rFonts w:ascii="Century Gothic" w:hAnsi="Century Gothic"/>
                <w:bCs/>
                <w:sz w:val="18"/>
                <w:szCs w:val="18"/>
                <w:lang w:val="en-US"/>
              </w:rPr>
              <w:t>endant</w:t>
            </w:r>
            <w:proofErr w:type="spellEnd"/>
            <w:r>
              <w:rPr>
                <w:rFonts w:ascii="Century Gothic" w:hAnsi="Century Gothic"/>
                <w:bCs/>
                <w:sz w:val="18"/>
                <w:szCs w:val="18"/>
                <w:lang w:val="en-US"/>
              </w:rPr>
              <w:t xml:space="preserve">. </w:t>
            </w:r>
          </w:p>
          <w:p w14:paraId="0937CC46" w14:textId="3CA45FF0" w:rsidR="002C5F9C" w:rsidRDefault="002C5F9C" w:rsidP="00862896">
            <w:pPr>
              <w:jc w:val="both"/>
              <w:rPr>
                <w:rFonts w:ascii="Century Gothic" w:hAnsi="Century Gothic"/>
                <w:bCs/>
                <w:sz w:val="18"/>
                <w:szCs w:val="18"/>
                <w:lang w:val="en-GB"/>
              </w:rPr>
            </w:pPr>
          </w:p>
          <w:p w14:paraId="18F66A1B" w14:textId="511710F2" w:rsidR="001F4896" w:rsidRDefault="001F4896" w:rsidP="00862896">
            <w:pPr>
              <w:jc w:val="both"/>
              <w:rPr>
                <w:rFonts w:ascii="Century Gothic" w:hAnsi="Century Gothic"/>
                <w:bCs/>
                <w:sz w:val="18"/>
                <w:szCs w:val="18"/>
                <w:lang w:val="en-GB"/>
              </w:rPr>
            </w:pPr>
            <w:r>
              <w:rPr>
                <w:rFonts w:ascii="Century Gothic" w:hAnsi="Century Gothic"/>
                <w:bCs/>
                <w:sz w:val="18"/>
                <w:szCs w:val="18"/>
                <w:lang w:val="en-GB"/>
              </w:rPr>
              <w:t xml:space="preserve">A </w:t>
            </w:r>
            <w:r w:rsidRPr="00692708">
              <w:rPr>
                <w:rFonts w:ascii="Century Gothic" w:hAnsi="Century Gothic"/>
                <w:b/>
                <w:bCs/>
                <w:sz w:val="18"/>
                <w:szCs w:val="18"/>
                <w:lang w:val="en-GB"/>
              </w:rPr>
              <w:t xml:space="preserve">final report assessing the possible </w:t>
            </w:r>
            <w:r w:rsidR="007845A5" w:rsidRPr="00692708">
              <w:rPr>
                <w:rFonts w:ascii="Century Gothic" w:hAnsi="Century Gothic"/>
                <w:b/>
                <w:bCs/>
                <w:sz w:val="18"/>
                <w:szCs w:val="18"/>
                <w:lang w:val="en-GB"/>
              </w:rPr>
              <w:t>risks</w:t>
            </w:r>
            <w:r w:rsidRPr="00692708">
              <w:rPr>
                <w:rFonts w:ascii="Century Gothic" w:hAnsi="Century Gothic"/>
                <w:b/>
                <w:bCs/>
                <w:sz w:val="18"/>
                <w:szCs w:val="18"/>
                <w:lang w:val="en-GB"/>
              </w:rPr>
              <w:t xml:space="preserve"> and based on the findings of the previous stages</w:t>
            </w:r>
            <w:r>
              <w:rPr>
                <w:rFonts w:ascii="Century Gothic" w:hAnsi="Century Gothic"/>
                <w:bCs/>
                <w:sz w:val="18"/>
                <w:szCs w:val="18"/>
                <w:lang w:val="en-GB"/>
              </w:rPr>
              <w:t xml:space="preserve"> is complied. This report is then </w:t>
            </w:r>
            <w:r w:rsidR="007845A5">
              <w:rPr>
                <w:rFonts w:ascii="Century Gothic" w:hAnsi="Century Gothic"/>
                <w:bCs/>
                <w:sz w:val="18"/>
                <w:szCs w:val="18"/>
                <w:lang w:val="en-GB"/>
              </w:rPr>
              <w:t xml:space="preserve">presented </w:t>
            </w:r>
            <w:r>
              <w:rPr>
                <w:rFonts w:ascii="Century Gothic" w:hAnsi="Century Gothic"/>
                <w:bCs/>
                <w:sz w:val="18"/>
                <w:szCs w:val="18"/>
                <w:lang w:val="en-GB"/>
              </w:rPr>
              <w:t xml:space="preserve">to the </w:t>
            </w:r>
            <w:r w:rsidR="007845A5">
              <w:rPr>
                <w:rFonts w:ascii="Century Gothic" w:hAnsi="Century Gothic"/>
                <w:bCs/>
                <w:sz w:val="18"/>
                <w:szCs w:val="18"/>
                <w:lang w:val="en-GB"/>
              </w:rPr>
              <w:t>Advisory</w:t>
            </w:r>
            <w:r>
              <w:rPr>
                <w:rFonts w:ascii="Century Gothic" w:hAnsi="Century Gothic"/>
                <w:bCs/>
                <w:sz w:val="18"/>
                <w:szCs w:val="18"/>
                <w:lang w:val="en-GB"/>
              </w:rPr>
              <w:t xml:space="preserve"> Board for the final decision.</w:t>
            </w:r>
            <w:r w:rsidR="00F63382">
              <w:rPr>
                <w:rStyle w:val="FootnoteReference"/>
                <w:rFonts w:ascii="Century Gothic" w:hAnsi="Century Gothic"/>
                <w:bCs/>
                <w:sz w:val="18"/>
                <w:szCs w:val="18"/>
                <w:lang w:val="en-GB"/>
              </w:rPr>
              <w:footnoteReference w:id="136"/>
            </w:r>
          </w:p>
          <w:p w14:paraId="59CFD8DA" w14:textId="77777777" w:rsidR="00862896" w:rsidRPr="00862896" w:rsidRDefault="00862896" w:rsidP="00862896">
            <w:pPr>
              <w:jc w:val="both"/>
              <w:rPr>
                <w:rFonts w:ascii="Century Gothic" w:hAnsi="Century Gothic"/>
                <w:bCs/>
                <w:sz w:val="18"/>
                <w:szCs w:val="18"/>
                <w:lang w:val="en-GB"/>
              </w:rPr>
            </w:pPr>
          </w:p>
          <w:p w14:paraId="5E241E36" w14:textId="46217560" w:rsidR="00862896" w:rsidRDefault="00FB2D83" w:rsidP="00862896">
            <w:pPr>
              <w:jc w:val="both"/>
              <w:rPr>
                <w:rFonts w:ascii="Century Gothic" w:hAnsi="Century Gothic"/>
                <w:bCs/>
                <w:sz w:val="18"/>
                <w:szCs w:val="18"/>
                <w:lang w:val="en-GB"/>
              </w:rPr>
            </w:pPr>
            <w:r>
              <w:rPr>
                <w:rFonts w:ascii="Century Gothic" w:hAnsi="Century Gothic"/>
                <w:bCs/>
                <w:sz w:val="18"/>
                <w:szCs w:val="18"/>
                <w:lang w:val="en-GB"/>
              </w:rPr>
              <w:t>LN 288/2015</w:t>
            </w:r>
            <w:r w:rsidR="00862896" w:rsidRPr="00862896">
              <w:rPr>
                <w:rFonts w:ascii="Century Gothic" w:hAnsi="Century Gothic"/>
                <w:bCs/>
                <w:sz w:val="18"/>
                <w:szCs w:val="18"/>
                <w:lang w:val="en-GB"/>
              </w:rPr>
              <w:t xml:space="preserve"> does not expressly require prior checks on the </w:t>
            </w:r>
            <w:r w:rsidR="00862896" w:rsidRPr="00692708">
              <w:rPr>
                <w:rFonts w:ascii="Century Gothic" w:hAnsi="Century Gothic"/>
                <w:b/>
                <w:bCs/>
                <w:sz w:val="18"/>
                <w:szCs w:val="18"/>
                <w:lang w:val="en-GB"/>
              </w:rPr>
              <w:t>origin of the money</w:t>
            </w:r>
            <w:r w:rsidR="00862896" w:rsidRPr="00862896">
              <w:rPr>
                <w:rFonts w:ascii="Century Gothic" w:hAnsi="Century Gothic"/>
                <w:bCs/>
                <w:sz w:val="18"/>
                <w:szCs w:val="18"/>
                <w:lang w:val="en-GB"/>
              </w:rPr>
              <w:t xml:space="preserve"> invested.</w:t>
            </w:r>
            <w:r w:rsidR="0014740F">
              <w:rPr>
                <w:rFonts w:ascii="Century Gothic" w:hAnsi="Century Gothic"/>
                <w:bCs/>
                <w:sz w:val="18"/>
                <w:szCs w:val="18"/>
                <w:lang w:val="en-GB"/>
              </w:rPr>
              <w:t xml:space="preserve"> </w:t>
            </w:r>
            <w:r>
              <w:rPr>
                <w:rFonts w:ascii="Century Gothic" w:hAnsi="Century Gothic"/>
                <w:bCs/>
                <w:sz w:val="18"/>
                <w:szCs w:val="18"/>
                <w:lang w:val="en-GB"/>
              </w:rPr>
              <w:t xml:space="preserve">However, the non-public bodies involved in the acquisition of stocks and of immovable </w:t>
            </w:r>
            <w:r>
              <w:rPr>
                <w:rFonts w:ascii="Century Gothic" w:hAnsi="Century Gothic"/>
                <w:bCs/>
                <w:sz w:val="18"/>
                <w:szCs w:val="18"/>
                <w:lang w:val="en-GB"/>
              </w:rPr>
              <w:lastRenderedPageBreak/>
              <w:t xml:space="preserve">property are obliged entities under the Anti-Money Laundering Directive and are therefore bound by its requirements. </w:t>
            </w:r>
            <w:r w:rsidR="0014740F">
              <w:rPr>
                <w:rFonts w:ascii="Century Gothic" w:hAnsi="Century Gothic"/>
                <w:bCs/>
                <w:sz w:val="18"/>
                <w:szCs w:val="18"/>
                <w:lang w:val="en-GB"/>
              </w:rPr>
              <w:t xml:space="preserve">The source of money in the case of the </w:t>
            </w:r>
            <w:r w:rsidR="007845A5">
              <w:rPr>
                <w:rFonts w:ascii="Century Gothic" w:hAnsi="Century Gothic"/>
                <w:bCs/>
                <w:sz w:val="18"/>
                <w:szCs w:val="18"/>
                <w:lang w:val="en-GB"/>
              </w:rPr>
              <w:t>qualifying</w:t>
            </w:r>
            <w:r w:rsidR="0014740F">
              <w:rPr>
                <w:rFonts w:ascii="Century Gothic" w:hAnsi="Century Gothic"/>
                <w:bCs/>
                <w:sz w:val="18"/>
                <w:szCs w:val="18"/>
                <w:lang w:val="en-GB"/>
              </w:rPr>
              <w:t xml:space="preserve"> </w:t>
            </w:r>
            <w:r w:rsidR="002E2FC2">
              <w:rPr>
                <w:rFonts w:ascii="Century Gothic" w:hAnsi="Century Gothic"/>
                <w:bCs/>
                <w:sz w:val="18"/>
                <w:szCs w:val="18"/>
                <w:lang w:val="en-GB"/>
              </w:rPr>
              <w:t>investment</w:t>
            </w:r>
            <w:r w:rsidR="0014740F">
              <w:rPr>
                <w:rFonts w:ascii="Century Gothic" w:hAnsi="Century Gothic"/>
                <w:bCs/>
                <w:sz w:val="18"/>
                <w:szCs w:val="18"/>
                <w:lang w:val="en-GB"/>
              </w:rPr>
              <w:t xml:space="preserve"> is verified by the respective stockbroker and/or </w:t>
            </w:r>
            <w:r w:rsidR="002E2FC2">
              <w:rPr>
                <w:rFonts w:ascii="Century Gothic" w:hAnsi="Century Gothic"/>
                <w:bCs/>
                <w:sz w:val="18"/>
                <w:szCs w:val="18"/>
                <w:lang w:val="en-GB"/>
              </w:rPr>
              <w:t>financial</w:t>
            </w:r>
            <w:r w:rsidR="0014740F">
              <w:rPr>
                <w:rFonts w:ascii="Century Gothic" w:hAnsi="Century Gothic"/>
                <w:bCs/>
                <w:sz w:val="18"/>
                <w:szCs w:val="18"/>
                <w:lang w:val="en-GB"/>
              </w:rPr>
              <w:t xml:space="preserve"> institution from whom the said investment is purchased. </w:t>
            </w:r>
            <w:r w:rsidR="002E2FC2">
              <w:rPr>
                <w:rFonts w:ascii="Century Gothic" w:hAnsi="Century Gothic"/>
                <w:bCs/>
                <w:sz w:val="18"/>
                <w:szCs w:val="18"/>
                <w:lang w:val="en-GB"/>
              </w:rPr>
              <w:t xml:space="preserve">The source of money in the case of property </w:t>
            </w:r>
            <w:r w:rsidR="007845A5">
              <w:rPr>
                <w:rFonts w:ascii="Century Gothic" w:hAnsi="Century Gothic"/>
                <w:bCs/>
                <w:sz w:val="18"/>
                <w:szCs w:val="18"/>
                <w:lang w:val="en-GB"/>
              </w:rPr>
              <w:t>leased</w:t>
            </w:r>
            <w:r w:rsidR="002E2FC2">
              <w:rPr>
                <w:rFonts w:ascii="Century Gothic" w:hAnsi="Century Gothic"/>
                <w:bCs/>
                <w:sz w:val="18"/>
                <w:szCs w:val="18"/>
                <w:lang w:val="en-GB"/>
              </w:rPr>
              <w:t xml:space="preserve"> or purchase</w:t>
            </w:r>
            <w:r w:rsidR="007845A5">
              <w:rPr>
                <w:rFonts w:ascii="Century Gothic" w:hAnsi="Century Gothic"/>
                <w:bCs/>
                <w:sz w:val="18"/>
                <w:szCs w:val="18"/>
                <w:lang w:val="en-GB"/>
              </w:rPr>
              <w:t>d</w:t>
            </w:r>
            <w:r w:rsidR="002E2FC2">
              <w:rPr>
                <w:rFonts w:ascii="Century Gothic" w:hAnsi="Century Gothic"/>
                <w:bCs/>
                <w:sz w:val="18"/>
                <w:szCs w:val="18"/>
                <w:lang w:val="en-GB"/>
              </w:rPr>
              <w:t xml:space="preserve"> is </w:t>
            </w:r>
            <w:r w:rsidR="007845A5">
              <w:rPr>
                <w:rFonts w:ascii="Century Gothic" w:hAnsi="Century Gothic"/>
                <w:bCs/>
                <w:sz w:val="18"/>
                <w:szCs w:val="18"/>
                <w:lang w:val="en-GB"/>
              </w:rPr>
              <w:t>verified</w:t>
            </w:r>
            <w:r w:rsidR="002E2FC2">
              <w:rPr>
                <w:rFonts w:ascii="Century Gothic" w:hAnsi="Century Gothic"/>
                <w:bCs/>
                <w:sz w:val="18"/>
                <w:szCs w:val="18"/>
                <w:lang w:val="en-GB"/>
              </w:rPr>
              <w:t xml:space="preserve"> by the </w:t>
            </w:r>
            <w:r w:rsidR="007845A5">
              <w:rPr>
                <w:rFonts w:ascii="Century Gothic" w:hAnsi="Century Gothic"/>
                <w:bCs/>
                <w:sz w:val="18"/>
                <w:szCs w:val="18"/>
                <w:lang w:val="en-GB"/>
              </w:rPr>
              <w:t>respective</w:t>
            </w:r>
            <w:r w:rsidR="002E2FC2">
              <w:rPr>
                <w:rFonts w:ascii="Century Gothic" w:hAnsi="Century Gothic"/>
                <w:bCs/>
                <w:sz w:val="18"/>
                <w:szCs w:val="18"/>
                <w:lang w:val="en-GB"/>
              </w:rPr>
              <w:t xml:space="preserve"> landlord and/or real estate agent from whom the property </w:t>
            </w:r>
            <w:r w:rsidR="007845A5">
              <w:rPr>
                <w:rFonts w:ascii="Century Gothic" w:hAnsi="Century Gothic"/>
                <w:bCs/>
                <w:sz w:val="18"/>
                <w:szCs w:val="18"/>
                <w:lang w:val="en-GB"/>
              </w:rPr>
              <w:t>is leased or purchased.</w:t>
            </w:r>
            <w:r w:rsidR="00F63382">
              <w:rPr>
                <w:rStyle w:val="FootnoteReference"/>
                <w:rFonts w:ascii="Century Gothic" w:hAnsi="Century Gothic"/>
                <w:bCs/>
                <w:sz w:val="18"/>
                <w:szCs w:val="18"/>
                <w:lang w:val="en-GB"/>
              </w:rPr>
              <w:footnoteReference w:id="137"/>
            </w:r>
            <w:r w:rsidR="00773061">
              <w:rPr>
                <w:rFonts w:ascii="Century Gothic" w:hAnsi="Century Gothic"/>
                <w:bCs/>
                <w:sz w:val="18"/>
                <w:szCs w:val="18"/>
                <w:lang w:val="en-GB"/>
              </w:rPr>
              <w:t xml:space="preserve"> </w:t>
            </w:r>
          </w:p>
          <w:p w14:paraId="094E4DF0" w14:textId="77777777" w:rsidR="002E2FC2" w:rsidRDefault="002E2FC2" w:rsidP="00862896">
            <w:pPr>
              <w:jc w:val="both"/>
              <w:rPr>
                <w:rFonts w:ascii="Century Gothic" w:hAnsi="Century Gothic"/>
                <w:bCs/>
                <w:sz w:val="18"/>
                <w:szCs w:val="18"/>
                <w:lang w:val="en-GB"/>
              </w:rPr>
            </w:pPr>
          </w:p>
          <w:p w14:paraId="5C86E710" w14:textId="7C00EF27" w:rsidR="00D96D40" w:rsidRPr="008D50F9" w:rsidRDefault="007845A5" w:rsidP="00862896">
            <w:pPr>
              <w:jc w:val="both"/>
              <w:rPr>
                <w:rFonts w:ascii="Century Gothic" w:hAnsi="Century Gothic"/>
                <w:bCs/>
                <w:sz w:val="18"/>
                <w:szCs w:val="18"/>
                <w:lang w:val="en-GB"/>
              </w:rPr>
            </w:pPr>
            <w:r>
              <w:rPr>
                <w:rFonts w:ascii="Century Gothic" w:hAnsi="Century Gothic"/>
                <w:bCs/>
                <w:sz w:val="18"/>
                <w:szCs w:val="18"/>
                <w:lang w:val="en-GB"/>
              </w:rPr>
              <w:t>Applicants are</w:t>
            </w:r>
            <w:r w:rsidR="002E2FC2">
              <w:rPr>
                <w:rFonts w:ascii="Century Gothic" w:hAnsi="Century Gothic"/>
                <w:bCs/>
                <w:sz w:val="18"/>
                <w:szCs w:val="18"/>
                <w:lang w:val="en-GB"/>
              </w:rPr>
              <w:t xml:space="preserve"> required to transfer the contribution f</w:t>
            </w:r>
            <w:r>
              <w:rPr>
                <w:rFonts w:ascii="Century Gothic" w:hAnsi="Century Gothic"/>
                <w:bCs/>
                <w:sz w:val="18"/>
                <w:szCs w:val="18"/>
                <w:lang w:val="en-GB"/>
              </w:rPr>
              <w:t>ro</w:t>
            </w:r>
            <w:r w:rsidR="002E2FC2">
              <w:rPr>
                <w:rFonts w:ascii="Century Gothic" w:hAnsi="Century Gothic"/>
                <w:bCs/>
                <w:sz w:val="18"/>
                <w:szCs w:val="18"/>
                <w:lang w:val="en-GB"/>
              </w:rPr>
              <w:t xml:space="preserve">m a previously declared bank account held in </w:t>
            </w:r>
            <w:r>
              <w:rPr>
                <w:rFonts w:ascii="Century Gothic" w:hAnsi="Century Gothic"/>
                <w:bCs/>
                <w:sz w:val="18"/>
                <w:szCs w:val="18"/>
                <w:lang w:val="en-GB"/>
              </w:rPr>
              <w:t>their</w:t>
            </w:r>
            <w:r w:rsidR="002E2FC2">
              <w:rPr>
                <w:rFonts w:ascii="Century Gothic" w:hAnsi="Century Gothic"/>
                <w:bCs/>
                <w:sz w:val="18"/>
                <w:szCs w:val="18"/>
                <w:lang w:val="en-GB"/>
              </w:rPr>
              <w:t xml:space="preserve"> name to the bank account of the MRVA. Documentary evidence of this transfer, including any intermediate </w:t>
            </w:r>
            <w:r w:rsidR="00D96D40">
              <w:rPr>
                <w:rFonts w:ascii="Century Gothic" w:hAnsi="Century Gothic"/>
                <w:bCs/>
                <w:sz w:val="18"/>
                <w:szCs w:val="18"/>
                <w:lang w:val="en-GB"/>
              </w:rPr>
              <w:t>steps</w:t>
            </w:r>
            <w:r w:rsidR="002E2FC2">
              <w:rPr>
                <w:rFonts w:ascii="Century Gothic" w:hAnsi="Century Gothic"/>
                <w:bCs/>
                <w:sz w:val="18"/>
                <w:szCs w:val="18"/>
                <w:lang w:val="en-GB"/>
              </w:rPr>
              <w:t xml:space="preserve"> such as SWIFT transfer records, mu</w:t>
            </w:r>
            <w:r>
              <w:rPr>
                <w:rFonts w:ascii="Century Gothic" w:hAnsi="Century Gothic"/>
                <w:bCs/>
                <w:sz w:val="18"/>
                <w:szCs w:val="18"/>
                <w:lang w:val="en-GB"/>
              </w:rPr>
              <w:t>st be provided by the applicants.</w:t>
            </w:r>
            <w:r w:rsidR="002E2FC2">
              <w:rPr>
                <w:rFonts w:ascii="Century Gothic" w:hAnsi="Century Gothic"/>
                <w:bCs/>
                <w:sz w:val="18"/>
                <w:szCs w:val="18"/>
                <w:lang w:val="en-GB"/>
              </w:rPr>
              <w:t xml:space="preserve"> The provisions of the Anti-Money </w:t>
            </w:r>
            <w:r w:rsidR="004D46C9">
              <w:rPr>
                <w:rFonts w:ascii="Century Gothic" w:hAnsi="Century Gothic"/>
                <w:bCs/>
                <w:sz w:val="18"/>
                <w:szCs w:val="18"/>
                <w:lang w:val="en-GB"/>
              </w:rPr>
              <w:t>Laundering</w:t>
            </w:r>
            <w:r w:rsidR="002E2FC2">
              <w:rPr>
                <w:rFonts w:ascii="Century Gothic" w:hAnsi="Century Gothic"/>
                <w:bCs/>
                <w:sz w:val="18"/>
                <w:szCs w:val="18"/>
                <w:lang w:val="en-GB"/>
              </w:rPr>
              <w:t xml:space="preserve"> Directive </w:t>
            </w:r>
            <w:r w:rsidR="000C10D1">
              <w:rPr>
                <w:rFonts w:ascii="Century Gothic" w:hAnsi="Century Gothic"/>
                <w:bCs/>
                <w:sz w:val="18"/>
                <w:szCs w:val="18"/>
                <w:lang w:val="en-GB"/>
              </w:rPr>
              <w:t>a</w:t>
            </w:r>
            <w:r w:rsidR="002E2FC2">
              <w:rPr>
                <w:rFonts w:ascii="Century Gothic" w:hAnsi="Century Gothic"/>
                <w:bCs/>
                <w:sz w:val="18"/>
                <w:szCs w:val="18"/>
                <w:lang w:val="en-GB"/>
              </w:rPr>
              <w:t xml:space="preserve">re applied in verifying the source of money of the contribution. </w:t>
            </w:r>
            <w:r w:rsidR="00D96D40">
              <w:rPr>
                <w:rFonts w:ascii="Century Gothic" w:hAnsi="Century Gothic"/>
                <w:bCs/>
                <w:sz w:val="18"/>
                <w:szCs w:val="18"/>
                <w:lang w:val="en-GB"/>
              </w:rPr>
              <w:t>In the case of the initial contribution – the non-refundable administrative fee of EUR 5,500</w:t>
            </w:r>
            <w:r>
              <w:rPr>
                <w:rFonts w:ascii="Century Gothic" w:hAnsi="Century Gothic"/>
                <w:bCs/>
                <w:sz w:val="18"/>
                <w:szCs w:val="18"/>
                <w:lang w:val="en-GB"/>
              </w:rPr>
              <w:t xml:space="preserve"> (see point 1.1. of Section II above)</w:t>
            </w:r>
            <w:r w:rsidR="00D96D40">
              <w:rPr>
                <w:rFonts w:ascii="Century Gothic" w:hAnsi="Century Gothic"/>
                <w:bCs/>
                <w:sz w:val="18"/>
                <w:szCs w:val="18"/>
                <w:lang w:val="en-GB"/>
              </w:rPr>
              <w:t>, MRVA accepts this from either the main applicant or f</w:t>
            </w:r>
            <w:r>
              <w:rPr>
                <w:rFonts w:ascii="Century Gothic" w:hAnsi="Century Gothic"/>
                <w:bCs/>
                <w:sz w:val="18"/>
                <w:szCs w:val="18"/>
                <w:lang w:val="en-GB"/>
              </w:rPr>
              <w:t>rom</w:t>
            </w:r>
            <w:r w:rsidR="00D96D40">
              <w:rPr>
                <w:rFonts w:ascii="Century Gothic" w:hAnsi="Century Gothic"/>
                <w:bCs/>
                <w:sz w:val="18"/>
                <w:szCs w:val="18"/>
                <w:lang w:val="en-GB"/>
              </w:rPr>
              <w:t xml:space="preserve"> the agent through a bank transfer. The agent must have received this initial payment from the main applicant. For </w:t>
            </w:r>
            <w:r>
              <w:rPr>
                <w:rFonts w:ascii="Century Gothic" w:hAnsi="Century Gothic"/>
                <w:bCs/>
                <w:sz w:val="18"/>
                <w:szCs w:val="18"/>
                <w:lang w:val="en-GB"/>
              </w:rPr>
              <w:t xml:space="preserve">the </w:t>
            </w:r>
            <w:r w:rsidR="00D96D40">
              <w:rPr>
                <w:rFonts w:ascii="Century Gothic" w:hAnsi="Century Gothic"/>
                <w:bCs/>
                <w:sz w:val="18"/>
                <w:szCs w:val="18"/>
                <w:lang w:val="en-GB"/>
              </w:rPr>
              <w:t xml:space="preserve">remaining part of the contribution (EUR 24,500 or more in steps of EUR 5,000 if dependants are included in the application), </w:t>
            </w:r>
            <w:r>
              <w:rPr>
                <w:rFonts w:ascii="Century Gothic" w:hAnsi="Century Gothic"/>
                <w:bCs/>
                <w:sz w:val="18"/>
                <w:szCs w:val="18"/>
                <w:lang w:val="en-GB"/>
              </w:rPr>
              <w:t xml:space="preserve">the </w:t>
            </w:r>
            <w:r w:rsidR="00D96D40">
              <w:rPr>
                <w:rFonts w:ascii="Century Gothic" w:hAnsi="Century Gothic"/>
                <w:bCs/>
                <w:sz w:val="18"/>
                <w:szCs w:val="18"/>
                <w:lang w:val="en-GB"/>
              </w:rPr>
              <w:t>MRVA requires a full payment trail if the payment is not done directly from the main applicant’s declared bank account to MRVA’s bank account. MRVA’s bankers are authorised credit institutions bound by all EU regulations. In Form MRVP2, the main applicant is required to declare the account from which the funds will be transferred. Checks are in place to ensure that this account is used and if not used partially or fully, a full explanation, accompanied by copies of SWIFT payment must be presented to the MRVA. In the case of missing information, the funds are returned to the remitter.</w:t>
            </w:r>
            <w:r w:rsidR="00F63382">
              <w:rPr>
                <w:rStyle w:val="FootnoteReference"/>
                <w:rFonts w:ascii="Century Gothic" w:hAnsi="Century Gothic"/>
                <w:bCs/>
                <w:sz w:val="18"/>
                <w:szCs w:val="18"/>
                <w:lang w:val="en-GB"/>
              </w:rPr>
              <w:footnoteReference w:id="138"/>
            </w:r>
          </w:p>
        </w:tc>
        <w:tc>
          <w:tcPr>
            <w:tcW w:w="950" w:type="pct"/>
            <w:tcBorders>
              <w:bottom w:val="single" w:sz="8" w:space="0" w:color="FFFFFF" w:themeColor="background1"/>
            </w:tcBorders>
            <w:shd w:val="clear" w:color="auto" w:fill="F2F2F2" w:themeFill="background1" w:themeFillShade="F2"/>
          </w:tcPr>
          <w:p w14:paraId="1785BB7C" w14:textId="1AC544C2" w:rsidR="00F53CA0" w:rsidRDefault="00080E5E" w:rsidP="0077457F">
            <w:pPr>
              <w:jc w:val="both"/>
              <w:rPr>
                <w:rFonts w:ascii="Century Gothic" w:hAnsi="Century Gothic"/>
                <w:bCs/>
                <w:sz w:val="18"/>
                <w:szCs w:val="18"/>
                <w:lang w:val="en-GB"/>
              </w:rPr>
            </w:pPr>
            <w:r>
              <w:rPr>
                <w:rFonts w:ascii="Century Gothic" w:hAnsi="Century Gothic"/>
                <w:bCs/>
                <w:sz w:val="18"/>
                <w:szCs w:val="18"/>
                <w:lang w:val="en-GB"/>
              </w:rPr>
              <w:lastRenderedPageBreak/>
              <w:t xml:space="preserve">Due diligence </w:t>
            </w:r>
            <w:r w:rsidR="00F53CA0" w:rsidRPr="00F53CA0">
              <w:rPr>
                <w:rFonts w:ascii="Century Gothic" w:hAnsi="Century Gothic"/>
                <w:bCs/>
                <w:sz w:val="18"/>
                <w:szCs w:val="18"/>
                <w:lang w:val="en-GB"/>
              </w:rPr>
              <w:t>screening is first conducted by the approved agents</w:t>
            </w:r>
            <w:r w:rsidR="00F53CA0">
              <w:rPr>
                <w:rFonts w:ascii="Century Gothic" w:hAnsi="Century Gothic"/>
                <w:bCs/>
                <w:sz w:val="18"/>
                <w:szCs w:val="18"/>
                <w:lang w:val="en-GB"/>
              </w:rPr>
              <w:t xml:space="preserve"> or accredited persons</w:t>
            </w:r>
            <w:r w:rsidR="00F53CA0" w:rsidRPr="00F53CA0">
              <w:rPr>
                <w:rFonts w:ascii="Century Gothic" w:hAnsi="Century Gothic"/>
                <w:bCs/>
                <w:sz w:val="18"/>
                <w:szCs w:val="18"/>
                <w:lang w:val="en-GB"/>
              </w:rPr>
              <w:t xml:space="preserve">. Printed reports regarding the </w:t>
            </w:r>
            <w:r>
              <w:rPr>
                <w:rFonts w:ascii="Century Gothic" w:hAnsi="Century Gothic"/>
                <w:bCs/>
                <w:sz w:val="18"/>
                <w:szCs w:val="18"/>
                <w:lang w:val="en-GB"/>
              </w:rPr>
              <w:t>main applicant</w:t>
            </w:r>
            <w:r w:rsidR="00F53CA0" w:rsidRPr="00F53CA0">
              <w:rPr>
                <w:rFonts w:ascii="Century Gothic" w:hAnsi="Century Gothic"/>
                <w:bCs/>
                <w:sz w:val="18"/>
                <w:szCs w:val="18"/>
                <w:lang w:val="en-GB"/>
              </w:rPr>
              <w:t xml:space="preserve"> and any dependants are forwarded to </w:t>
            </w:r>
            <w:r w:rsidR="00F63382">
              <w:rPr>
                <w:rFonts w:ascii="Century Gothic" w:hAnsi="Century Gothic"/>
                <w:bCs/>
                <w:sz w:val="18"/>
                <w:szCs w:val="18"/>
                <w:lang w:val="en-GB"/>
              </w:rPr>
              <w:t xml:space="preserve">the MRVA </w:t>
            </w:r>
            <w:r w:rsidR="00F53CA0" w:rsidRPr="00F53CA0">
              <w:rPr>
                <w:rFonts w:ascii="Century Gothic" w:hAnsi="Century Gothic"/>
                <w:bCs/>
                <w:sz w:val="18"/>
                <w:szCs w:val="18"/>
                <w:lang w:val="en-GB"/>
              </w:rPr>
              <w:t xml:space="preserve">together with the application. Approved agents </w:t>
            </w:r>
            <w:r w:rsidR="00F53CA0">
              <w:rPr>
                <w:rFonts w:ascii="Century Gothic" w:hAnsi="Century Gothic"/>
                <w:bCs/>
                <w:sz w:val="18"/>
                <w:szCs w:val="18"/>
                <w:lang w:val="en-GB"/>
              </w:rPr>
              <w:t xml:space="preserve">or accredited persons </w:t>
            </w:r>
            <w:r w:rsidR="00F53CA0" w:rsidRPr="00F53CA0">
              <w:rPr>
                <w:rFonts w:ascii="Century Gothic" w:hAnsi="Century Gothic"/>
                <w:bCs/>
                <w:sz w:val="18"/>
                <w:szCs w:val="18"/>
                <w:lang w:val="en-GB"/>
              </w:rPr>
              <w:t xml:space="preserve">are required to keep evidence of investigations. </w:t>
            </w:r>
          </w:p>
          <w:p w14:paraId="548FE695" w14:textId="77777777" w:rsidR="00F53CA0" w:rsidRPr="00F53CA0" w:rsidRDefault="00F53CA0" w:rsidP="0077457F">
            <w:pPr>
              <w:jc w:val="both"/>
              <w:rPr>
                <w:rFonts w:ascii="Century Gothic" w:hAnsi="Century Gothic"/>
                <w:bCs/>
                <w:sz w:val="18"/>
                <w:szCs w:val="18"/>
                <w:lang w:val="en-GB"/>
              </w:rPr>
            </w:pPr>
          </w:p>
          <w:p w14:paraId="2F8DB274" w14:textId="3460E949" w:rsidR="00B311A7" w:rsidRDefault="00F53CA0" w:rsidP="0077457F">
            <w:pPr>
              <w:jc w:val="both"/>
              <w:rPr>
                <w:rFonts w:ascii="Century Gothic" w:hAnsi="Century Gothic"/>
                <w:bCs/>
                <w:sz w:val="18"/>
                <w:szCs w:val="18"/>
                <w:lang w:val="en-GB"/>
              </w:rPr>
            </w:pPr>
            <w:r w:rsidRPr="00F53CA0">
              <w:rPr>
                <w:rFonts w:ascii="Century Gothic" w:hAnsi="Century Gothic"/>
                <w:bCs/>
                <w:sz w:val="18"/>
                <w:szCs w:val="18"/>
                <w:lang w:val="en-GB"/>
              </w:rPr>
              <w:t xml:space="preserve">The second stage of due diligence checks is performed by </w:t>
            </w:r>
            <w:r w:rsidR="00F63382">
              <w:rPr>
                <w:rFonts w:ascii="Century Gothic" w:hAnsi="Century Gothic"/>
                <w:bCs/>
                <w:sz w:val="18"/>
                <w:szCs w:val="18"/>
                <w:lang w:val="en-GB"/>
              </w:rPr>
              <w:t>the MRVA</w:t>
            </w:r>
            <w:r w:rsidRPr="00F53CA0">
              <w:rPr>
                <w:rFonts w:ascii="Century Gothic" w:hAnsi="Century Gothic"/>
                <w:bCs/>
                <w:sz w:val="18"/>
                <w:szCs w:val="18"/>
                <w:lang w:val="en-GB"/>
              </w:rPr>
              <w:t>, after the receipt of the application and the</w:t>
            </w:r>
            <w:r w:rsidR="00080E5E">
              <w:rPr>
                <w:rFonts w:ascii="Century Gothic" w:hAnsi="Century Gothic"/>
                <w:bCs/>
                <w:sz w:val="18"/>
                <w:szCs w:val="18"/>
                <w:lang w:val="en-GB"/>
              </w:rPr>
              <w:t xml:space="preserve"> payment of the initial fee </w:t>
            </w:r>
            <w:r w:rsidR="00080E5E" w:rsidRPr="0069748F">
              <w:rPr>
                <w:rFonts w:ascii="Century Gothic" w:hAnsi="Century Gothic"/>
                <w:bCs/>
                <w:sz w:val="18"/>
                <w:szCs w:val="18"/>
                <w:lang w:val="en-GB"/>
              </w:rPr>
              <w:t xml:space="preserve">of EUR </w:t>
            </w:r>
            <w:r w:rsidR="0069748F" w:rsidRPr="0069748F">
              <w:rPr>
                <w:rFonts w:ascii="Century Gothic" w:hAnsi="Century Gothic"/>
                <w:bCs/>
                <w:sz w:val="18"/>
                <w:szCs w:val="18"/>
                <w:lang w:val="en-GB"/>
              </w:rPr>
              <w:t>5,</w:t>
            </w:r>
            <w:r w:rsidR="00F63382">
              <w:rPr>
                <w:rFonts w:ascii="Century Gothic" w:hAnsi="Century Gothic"/>
                <w:bCs/>
                <w:sz w:val="18"/>
                <w:szCs w:val="18"/>
                <w:lang w:val="en-GB"/>
              </w:rPr>
              <w:t>5</w:t>
            </w:r>
            <w:r w:rsidRPr="0069748F">
              <w:rPr>
                <w:rFonts w:ascii="Century Gothic" w:hAnsi="Century Gothic"/>
                <w:bCs/>
                <w:sz w:val="18"/>
                <w:szCs w:val="18"/>
                <w:lang w:val="en-GB"/>
              </w:rPr>
              <w:t xml:space="preserve">00. </w:t>
            </w:r>
            <w:r w:rsidR="00F63382">
              <w:rPr>
                <w:rFonts w:ascii="Century Gothic" w:hAnsi="Century Gothic"/>
                <w:bCs/>
                <w:sz w:val="18"/>
                <w:szCs w:val="18"/>
                <w:lang w:val="en-GB"/>
              </w:rPr>
              <w:t>MRVA</w:t>
            </w:r>
            <w:r w:rsidRPr="00F53CA0">
              <w:rPr>
                <w:rFonts w:ascii="Century Gothic" w:hAnsi="Century Gothic"/>
                <w:bCs/>
                <w:sz w:val="18"/>
                <w:szCs w:val="18"/>
                <w:lang w:val="en-GB"/>
              </w:rPr>
              <w:t xml:space="preserve"> checks are carried out over the </w:t>
            </w:r>
            <w:r w:rsidR="00080E5E">
              <w:rPr>
                <w:rFonts w:ascii="Century Gothic" w:hAnsi="Century Gothic"/>
                <w:bCs/>
                <w:sz w:val="18"/>
                <w:szCs w:val="18"/>
                <w:lang w:val="en-GB"/>
              </w:rPr>
              <w:t>three to four</w:t>
            </w:r>
            <w:r w:rsidRPr="00F53CA0">
              <w:rPr>
                <w:rFonts w:ascii="Century Gothic" w:hAnsi="Century Gothic"/>
                <w:bCs/>
                <w:sz w:val="18"/>
                <w:szCs w:val="18"/>
                <w:lang w:val="en-GB"/>
              </w:rPr>
              <w:t xml:space="preserve"> months following the submission of </w:t>
            </w:r>
            <w:r w:rsidR="00080E5E">
              <w:rPr>
                <w:rFonts w:ascii="Century Gothic" w:hAnsi="Century Gothic"/>
                <w:bCs/>
                <w:sz w:val="18"/>
                <w:szCs w:val="18"/>
                <w:lang w:val="en-GB"/>
              </w:rPr>
              <w:t xml:space="preserve">the </w:t>
            </w:r>
            <w:r w:rsidRPr="00F53CA0">
              <w:rPr>
                <w:rFonts w:ascii="Century Gothic" w:hAnsi="Century Gothic"/>
                <w:bCs/>
                <w:sz w:val="18"/>
                <w:szCs w:val="18"/>
                <w:lang w:val="en-GB"/>
              </w:rPr>
              <w:t>application.</w:t>
            </w:r>
            <w:r>
              <w:rPr>
                <w:rStyle w:val="FootnoteReference"/>
                <w:rFonts w:ascii="Century Gothic" w:hAnsi="Century Gothic"/>
                <w:bCs/>
                <w:sz w:val="18"/>
                <w:szCs w:val="18"/>
                <w:lang w:val="en-GB"/>
              </w:rPr>
              <w:footnoteReference w:id="139"/>
            </w:r>
          </w:p>
          <w:p w14:paraId="6A03E6A7" w14:textId="77777777" w:rsidR="00F53CA0" w:rsidRDefault="00F53CA0" w:rsidP="0077457F">
            <w:pPr>
              <w:jc w:val="both"/>
              <w:rPr>
                <w:rFonts w:ascii="Century Gothic" w:hAnsi="Century Gothic"/>
                <w:bCs/>
                <w:sz w:val="18"/>
                <w:szCs w:val="18"/>
                <w:lang w:val="en-GB"/>
              </w:rPr>
            </w:pPr>
          </w:p>
          <w:p w14:paraId="3E5B4B19" w14:textId="5C9AEDE0" w:rsidR="00F53CA0" w:rsidRPr="00523824" w:rsidRDefault="00B31586" w:rsidP="0069748F">
            <w:pPr>
              <w:jc w:val="both"/>
              <w:rPr>
                <w:rFonts w:ascii="Century Gothic" w:hAnsi="Century Gothic"/>
                <w:bCs/>
                <w:sz w:val="18"/>
                <w:szCs w:val="18"/>
                <w:lang w:val="en-GB"/>
              </w:rPr>
            </w:pPr>
            <w:r w:rsidRPr="0069748F">
              <w:rPr>
                <w:rFonts w:ascii="Century Gothic" w:hAnsi="Century Gothic"/>
                <w:bCs/>
                <w:sz w:val="18"/>
                <w:szCs w:val="18"/>
                <w:lang w:val="en-GB"/>
              </w:rPr>
              <w:t xml:space="preserve">Requirements for the conferral of the </w:t>
            </w:r>
            <w:r w:rsidR="0069748F" w:rsidRPr="0069748F">
              <w:rPr>
                <w:rFonts w:ascii="Century Gothic" w:hAnsi="Century Gothic"/>
                <w:bCs/>
                <w:sz w:val="18"/>
                <w:szCs w:val="18"/>
                <w:lang w:val="en-GB"/>
              </w:rPr>
              <w:t>residence certificate</w:t>
            </w:r>
            <w:r w:rsidRPr="0069748F">
              <w:rPr>
                <w:rFonts w:ascii="Century Gothic" w:hAnsi="Century Gothic"/>
                <w:bCs/>
                <w:sz w:val="18"/>
                <w:szCs w:val="18"/>
                <w:lang w:val="en-GB"/>
              </w:rPr>
              <w:t xml:space="preserve"> as stipulated in </w:t>
            </w:r>
            <w:r w:rsidRPr="0069748F">
              <w:rPr>
                <w:rFonts w:ascii="Century Gothic" w:hAnsi="Century Gothic"/>
                <w:bCs/>
                <w:sz w:val="18"/>
                <w:szCs w:val="18"/>
                <w:lang w:val="en-GB"/>
              </w:rPr>
              <w:lastRenderedPageBreak/>
              <w:t>Regulation 6 o</w:t>
            </w:r>
            <w:r w:rsidR="00080E5E" w:rsidRPr="0069748F">
              <w:rPr>
                <w:rFonts w:ascii="Century Gothic" w:hAnsi="Century Gothic"/>
                <w:bCs/>
                <w:sz w:val="18"/>
                <w:szCs w:val="18"/>
                <w:lang w:val="en-GB"/>
              </w:rPr>
              <w:t>f</w:t>
            </w:r>
            <w:r w:rsidRPr="0069748F">
              <w:rPr>
                <w:rFonts w:ascii="Century Gothic" w:hAnsi="Century Gothic"/>
                <w:bCs/>
                <w:sz w:val="18"/>
                <w:szCs w:val="18"/>
                <w:lang w:val="en-GB"/>
              </w:rPr>
              <w:t xml:space="preserve"> LN 288/2015 </w:t>
            </w:r>
            <w:r w:rsidR="0069748F" w:rsidRPr="0069748F">
              <w:rPr>
                <w:rFonts w:ascii="Century Gothic" w:hAnsi="Century Gothic"/>
                <w:bCs/>
                <w:sz w:val="18"/>
                <w:szCs w:val="18"/>
                <w:lang w:val="en-GB"/>
              </w:rPr>
              <w:t xml:space="preserve">(see point 1.1 of Section II above) </w:t>
            </w:r>
            <w:r w:rsidRPr="0069748F">
              <w:rPr>
                <w:rFonts w:ascii="Century Gothic" w:hAnsi="Century Gothic"/>
                <w:bCs/>
                <w:sz w:val="18"/>
                <w:szCs w:val="18"/>
                <w:lang w:val="en-GB"/>
              </w:rPr>
              <w:t xml:space="preserve">include: a) due diligence on the applicant and any dependants over the age of 12; b) police certificate of a clean criminal record in Malta and any other country where the applicant has lived for more than </w:t>
            </w:r>
            <w:r w:rsidR="0069748F" w:rsidRPr="0069748F">
              <w:rPr>
                <w:rFonts w:ascii="Century Gothic" w:hAnsi="Century Gothic"/>
                <w:bCs/>
                <w:sz w:val="18"/>
                <w:szCs w:val="18"/>
                <w:lang w:val="en-GB"/>
              </w:rPr>
              <w:t>six</w:t>
            </w:r>
            <w:r w:rsidRPr="0069748F">
              <w:rPr>
                <w:rFonts w:ascii="Century Gothic" w:hAnsi="Century Gothic"/>
                <w:bCs/>
                <w:sz w:val="18"/>
                <w:szCs w:val="18"/>
                <w:lang w:val="en-GB"/>
              </w:rPr>
              <w:t xml:space="preserve"> months </w:t>
            </w:r>
            <w:r w:rsidR="0069748F" w:rsidRPr="0069748F">
              <w:rPr>
                <w:rFonts w:ascii="Century Gothic" w:hAnsi="Century Gothic"/>
                <w:bCs/>
                <w:sz w:val="18"/>
                <w:szCs w:val="18"/>
                <w:lang w:val="en-GB"/>
              </w:rPr>
              <w:t>in</w:t>
            </w:r>
            <w:r w:rsidRPr="0069748F">
              <w:rPr>
                <w:rFonts w:ascii="Century Gothic" w:hAnsi="Century Gothic"/>
                <w:bCs/>
                <w:sz w:val="18"/>
                <w:szCs w:val="18"/>
                <w:lang w:val="en-GB"/>
              </w:rPr>
              <w:t xml:space="preserve"> the last </w:t>
            </w:r>
            <w:r w:rsidR="0069748F" w:rsidRPr="0069748F">
              <w:rPr>
                <w:rFonts w:ascii="Century Gothic" w:hAnsi="Century Gothic"/>
                <w:bCs/>
                <w:sz w:val="18"/>
                <w:szCs w:val="18"/>
                <w:lang w:val="en-GB"/>
              </w:rPr>
              <w:t>ten</w:t>
            </w:r>
            <w:r w:rsidRPr="0069748F">
              <w:rPr>
                <w:rFonts w:ascii="Century Gothic" w:hAnsi="Century Gothic"/>
                <w:bCs/>
                <w:sz w:val="18"/>
                <w:szCs w:val="18"/>
                <w:lang w:val="en-GB"/>
              </w:rPr>
              <w:t xml:space="preserve"> years; c)</w:t>
            </w:r>
            <w:r w:rsidR="0077457F" w:rsidRPr="0069748F">
              <w:rPr>
                <w:rFonts w:ascii="Century Gothic" w:hAnsi="Century Gothic"/>
                <w:bCs/>
                <w:sz w:val="18"/>
                <w:szCs w:val="18"/>
                <w:lang w:val="en-GB"/>
              </w:rPr>
              <w:t xml:space="preserve"> </w:t>
            </w:r>
            <w:r w:rsidRPr="0069748F">
              <w:rPr>
                <w:rFonts w:ascii="Century Gothic" w:hAnsi="Century Gothic"/>
                <w:bCs/>
                <w:sz w:val="18"/>
                <w:szCs w:val="18"/>
                <w:lang w:val="en-GB"/>
              </w:rPr>
              <w:t xml:space="preserve">no </w:t>
            </w:r>
            <w:r w:rsidR="0069748F" w:rsidRPr="0069748F">
              <w:rPr>
                <w:rFonts w:ascii="Century Gothic" w:hAnsi="Century Gothic"/>
                <w:bCs/>
                <w:sz w:val="18"/>
                <w:szCs w:val="18"/>
                <w:lang w:val="en-GB"/>
              </w:rPr>
              <w:t xml:space="preserve">indictment </w:t>
            </w:r>
            <w:r w:rsidRPr="0069748F">
              <w:rPr>
                <w:rFonts w:ascii="Century Gothic" w:hAnsi="Century Gothic"/>
                <w:bCs/>
                <w:sz w:val="18"/>
                <w:szCs w:val="18"/>
                <w:lang w:val="en-GB"/>
              </w:rPr>
              <w:t>before the International Criminal Court; d) that the applicant or any of his or her de</w:t>
            </w:r>
            <w:r w:rsidR="0069748F" w:rsidRPr="0069748F">
              <w:rPr>
                <w:rFonts w:ascii="Century Gothic" w:hAnsi="Century Gothic"/>
                <w:bCs/>
                <w:sz w:val="18"/>
                <w:szCs w:val="18"/>
                <w:lang w:val="en-GB"/>
              </w:rPr>
              <w:t>pendants are not listed with</w:t>
            </w:r>
            <w:r w:rsidRPr="0069748F">
              <w:rPr>
                <w:rFonts w:ascii="Century Gothic" w:hAnsi="Century Gothic"/>
                <w:bCs/>
                <w:sz w:val="18"/>
                <w:szCs w:val="18"/>
                <w:lang w:val="en-GB"/>
              </w:rPr>
              <w:t xml:space="preserve"> INTERPOL; e) that the applicant does not pose a threat to public security or health; f) that they have not been charged with or declared guilty of terrorism, money laundering, war crimes, cries against humanity, funding of terrorism, or crimes that infringe human rights and freedoms; g) absence of crimes such as paedophilia, defilement of minors, rape, violent indecent assault, inducing to prostitution, abduction; and h) absence of charges punishable with more than </w:t>
            </w:r>
            <w:r w:rsidRPr="0069748F">
              <w:rPr>
                <w:rFonts w:ascii="Century Gothic" w:hAnsi="Century Gothic"/>
                <w:bCs/>
                <w:sz w:val="18"/>
                <w:szCs w:val="18"/>
                <w:lang w:val="en-GB"/>
              </w:rPr>
              <w:lastRenderedPageBreak/>
              <w:t>two years imprisonment. Existence of any of these constitutes grounds for refusal.</w:t>
            </w:r>
          </w:p>
        </w:tc>
        <w:tc>
          <w:tcPr>
            <w:tcW w:w="550" w:type="pct"/>
            <w:tcBorders>
              <w:bottom w:val="single" w:sz="8" w:space="0" w:color="FFFFFF" w:themeColor="background1"/>
            </w:tcBorders>
            <w:shd w:val="clear" w:color="auto" w:fill="F2F2F2" w:themeFill="background1" w:themeFillShade="F2"/>
          </w:tcPr>
          <w:p w14:paraId="4F5CC257" w14:textId="4B0D8F56" w:rsidR="00B311A7" w:rsidRPr="00523824" w:rsidRDefault="006A7B70" w:rsidP="00A934DA">
            <w:pPr>
              <w:jc w:val="both"/>
              <w:rPr>
                <w:rFonts w:ascii="Century Gothic" w:hAnsi="Century Gothic"/>
                <w:bCs/>
                <w:sz w:val="18"/>
                <w:szCs w:val="18"/>
                <w:lang w:val="en-GB"/>
              </w:rPr>
            </w:pPr>
            <w:r>
              <w:rPr>
                <w:rFonts w:ascii="Century Gothic" w:hAnsi="Century Gothic"/>
                <w:bCs/>
                <w:sz w:val="18"/>
                <w:szCs w:val="18"/>
                <w:lang w:val="en-GB"/>
              </w:rPr>
              <w:lastRenderedPageBreak/>
              <w:t>The competent authorities and non-public bodies involved are described in</w:t>
            </w:r>
            <w:r w:rsidR="00A934DA">
              <w:rPr>
                <w:rFonts w:ascii="Century Gothic" w:hAnsi="Century Gothic"/>
                <w:bCs/>
                <w:sz w:val="18"/>
                <w:szCs w:val="18"/>
                <w:lang w:val="en-GB"/>
              </w:rPr>
              <w:t xml:space="preserve"> points 1.1,</w:t>
            </w:r>
            <w:r>
              <w:rPr>
                <w:rFonts w:ascii="Century Gothic" w:hAnsi="Century Gothic"/>
                <w:bCs/>
                <w:sz w:val="18"/>
                <w:szCs w:val="18"/>
                <w:lang w:val="en-GB"/>
              </w:rPr>
              <w:t xml:space="preserve"> 1.2 and 1.3 </w:t>
            </w:r>
            <w:r w:rsidR="00A934DA">
              <w:rPr>
                <w:rFonts w:ascii="Century Gothic" w:hAnsi="Century Gothic"/>
                <w:bCs/>
                <w:sz w:val="18"/>
                <w:szCs w:val="18"/>
                <w:lang w:val="en-GB"/>
              </w:rPr>
              <w:t xml:space="preserve">of Section II </w:t>
            </w:r>
            <w:r>
              <w:rPr>
                <w:rFonts w:ascii="Century Gothic" w:hAnsi="Century Gothic"/>
                <w:bCs/>
                <w:sz w:val="18"/>
                <w:szCs w:val="18"/>
                <w:lang w:val="en-GB"/>
              </w:rPr>
              <w:t>above.</w:t>
            </w:r>
            <w:r w:rsidR="004972F2">
              <w:rPr>
                <w:rFonts w:ascii="Century Gothic" w:hAnsi="Century Gothic"/>
                <w:bCs/>
                <w:sz w:val="18"/>
                <w:szCs w:val="18"/>
                <w:lang w:val="en-GB"/>
              </w:rPr>
              <w:t xml:space="preserve"> The MRVA and approved agents are involved in the due diligence checks as described in the first column of this table. In addition, the MRVA engages the services o</w:t>
            </w:r>
            <w:r w:rsidR="006626FE">
              <w:rPr>
                <w:rFonts w:ascii="Century Gothic" w:hAnsi="Century Gothic"/>
                <w:bCs/>
                <w:sz w:val="18"/>
                <w:szCs w:val="18"/>
                <w:lang w:val="en-GB"/>
              </w:rPr>
              <w:t>f</w:t>
            </w:r>
            <w:r w:rsidR="004972F2">
              <w:rPr>
                <w:rFonts w:ascii="Century Gothic" w:hAnsi="Century Gothic"/>
                <w:bCs/>
                <w:sz w:val="18"/>
                <w:szCs w:val="18"/>
                <w:lang w:val="en-GB"/>
              </w:rPr>
              <w:t xml:space="preserve"> internationally recognized due diligence companies (third party </w:t>
            </w:r>
            <w:r w:rsidR="004972F2">
              <w:rPr>
                <w:rFonts w:ascii="Century Gothic" w:hAnsi="Century Gothic"/>
                <w:bCs/>
                <w:sz w:val="18"/>
                <w:szCs w:val="18"/>
                <w:lang w:val="en-GB"/>
              </w:rPr>
              <w:lastRenderedPageBreak/>
              <w:t>service providers).</w:t>
            </w:r>
            <w:r w:rsidR="004972F2">
              <w:rPr>
                <w:rStyle w:val="FootnoteReference"/>
                <w:rFonts w:ascii="Century Gothic" w:hAnsi="Century Gothic"/>
                <w:bCs/>
                <w:sz w:val="18"/>
                <w:szCs w:val="18"/>
                <w:lang w:val="en-GB"/>
              </w:rPr>
              <w:footnoteReference w:id="140"/>
            </w:r>
          </w:p>
        </w:tc>
        <w:tc>
          <w:tcPr>
            <w:tcW w:w="511" w:type="pct"/>
            <w:tcBorders>
              <w:bottom w:val="single" w:sz="8" w:space="0" w:color="FFFFFF" w:themeColor="background1"/>
            </w:tcBorders>
            <w:shd w:val="clear" w:color="auto" w:fill="F2F2F2" w:themeFill="background1" w:themeFillShade="F2"/>
          </w:tcPr>
          <w:p w14:paraId="22D28944" w14:textId="47BC0B95" w:rsidR="00B311A7" w:rsidRDefault="003C6B24" w:rsidP="003C6B24">
            <w:pPr>
              <w:jc w:val="both"/>
              <w:rPr>
                <w:rFonts w:ascii="Century Gothic" w:hAnsi="Century Gothic"/>
                <w:bCs/>
                <w:sz w:val="18"/>
                <w:szCs w:val="18"/>
                <w:lang w:val="en-GB"/>
              </w:rPr>
            </w:pPr>
            <w:r>
              <w:rPr>
                <w:rFonts w:ascii="Century Gothic" w:hAnsi="Century Gothic"/>
                <w:bCs/>
                <w:sz w:val="18"/>
                <w:szCs w:val="18"/>
                <w:lang w:val="en-GB"/>
              </w:rPr>
              <w:lastRenderedPageBreak/>
              <w:t xml:space="preserve">The </w:t>
            </w:r>
            <w:r w:rsidR="00A934DA">
              <w:rPr>
                <w:rFonts w:ascii="Century Gothic" w:hAnsi="Century Gothic"/>
                <w:bCs/>
                <w:sz w:val="18"/>
                <w:szCs w:val="18"/>
                <w:lang w:val="en-GB"/>
              </w:rPr>
              <w:t xml:space="preserve">residence </w:t>
            </w:r>
            <w:r>
              <w:rPr>
                <w:rFonts w:ascii="Century Gothic" w:hAnsi="Century Gothic"/>
                <w:bCs/>
                <w:sz w:val="18"/>
                <w:szCs w:val="18"/>
                <w:lang w:val="en-GB"/>
              </w:rPr>
              <w:t xml:space="preserve">certificate is monitored annually for the first five years from its issue and every five years thereafter; it is </w:t>
            </w:r>
            <w:r>
              <w:rPr>
                <w:rFonts w:ascii="Century Gothic" w:hAnsi="Century Gothic"/>
                <w:bCs/>
                <w:i/>
                <w:sz w:val="18"/>
                <w:szCs w:val="18"/>
                <w:lang w:val="en-GB"/>
              </w:rPr>
              <w:t>ipso jure</w:t>
            </w:r>
            <w:r>
              <w:rPr>
                <w:rFonts w:ascii="Century Gothic" w:hAnsi="Century Gothic"/>
                <w:bCs/>
                <w:sz w:val="18"/>
                <w:szCs w:val="18"/>
                <w:lang w:val="en-GB"/>
              </w:rPr>
              <w:t xml:space="preserve"> withdrawn as soon as the beneficiary infringes any of the provisions of LN 288/2015 (Regulation 4(a) of LN 288/2015).</w:t>
            </w:r>
            <w:r w:rsidR="00F63382">
              <w:rPr>
                <w:rFonts w:ascii="Century Gothic" w:hAnsi="Century Gothic"/>
                <w:bCs/>
                <w:sz w:val="18"/>
                <w:szCs w:val="18"/>
                <w:lang w:val="en-GB"/>
              </w:rPr>
              <w:t xml:space="preserve"> For further information see point 2 above.</w:t>
            </w:r>
          </w:p>
          <w:p w14:paraId="01E8B792" w14:textId="77777777" w:rsidR="0069748F" w:rsidRDefault="0069748F" w:rsidP="003C6B24">
            <w:pPr>
              <w:jc w:val="both"/>
              <w:rPr>
                <w:rFonts w:ascii="Century Gothic" w:hAnsi="Century Gothic"/>
                <w:bCs/>
                <w:sz w:val="18"/>
                <w:szCs w:val="18"/>
                <w:lang w:val="en-GB"/>
              </w:rPr>
            </w:pPr>
          </w:p>
          <w:p w14:paraId="34986FA7" w14:textId="04E2603A" w:rsidR="0069748F" w:rsidRPr="003C6B24" w:rsidRDefault="0069748F" w:rsidP="003C6B24">
            <w:pPr>
              <w:jc w:val="both"/>
              <w:rPr>
                <w:rFonts w:ascii="Century Gothic" w:hAnsi="Century Gothic"/>
                <w:bCs/>
                <w:sz w:val="18"/>
                <w:szCs w:val="18"/>
                <w:lang w:val="en-GB"/>
              </w:rPr>
            </w:pPr>
            <w:r>
              <w:rPr>
                <w:rFonts w:ascii="Century Gothic" w:hAnsi="Century Gothic"/>
                <w:bCs/>
                <w:sz w:val="18"/>
                <w:szCs w:val="18"/>
                <w:lang w:val="en-GB"/>
              </w:rPr>
              <w:t xml:space="preserve">To date no cases of misuse have </w:t>
            </w:r>
            <w:r>
              <w:rPr>
                <w:rFonts w:ascii="Century Gothic" w:hAnsi="Century Gothic"/>
                <w:bCs/>
                <w:sz w:val="18"/>
                <w:szCs w:val="18"/>
                <w:lang w:val="en-GB"/>
              </w:rPr>
              <w:lastRenderedPageBreak/>
              <w:t xml:space="preserve">been reported. </w:t>
            </w:r>
          </w:p>
        </w:tc>
      </w:tr>
      <w:tr w:rsidR="009C1D6B" w:rsidRPr="009C1D6B" w14:paraId="1F25AA67" w14:textId="77777777" w:rsidTr="00D5394E">
        <w:tc>
          <w:tcPr>
            <w:tcW w:w="5000" w:type="pct"/>
            <w:gridSpan w:val="4"/>
            <w:shd w:val="clear" w:color="auto" w:fill="B6DDE8" w:themeFill="accent5" w:themeFillTint="66"/>
          </w:tcPr>
          <w:p w14:paraId="32346579" w14:textId="08FCA190" w:rsidR="009C1D6B" w:rsidRPr="00D5394E" w:rsidRDefault="009C1D6B" w:rsidP="003C6B24">
            <w:pPr>
              <w:jc w:val="both"/>
              <w:rPr>
                <w:rFonts w:ascii="Century Gothic" w:hAnsi="Century Gothic"/>
                <w:b/>
                <w:bCs/>
                <w:sz w:val="18"/>
                <w:szCs w:val="18"/>
                <w:lang w:val="en-GB"/>
              </w:rPr>
            </w:pPr>
            <w:r w:rsidRPr="00D5394E">
              <w:rPr>
                <w:rFonts w:ascii="Century Gothic" w:hAnsi="Century Gothic"/>
                <w:b/>
                <w:bCs/>
                <w:sz w:val="18"/>
                <w:szCs w:val="18"/>
                <w:lang w:val="en-GB"/>
              </w:rPr>
              <w:lastRenderedPageBreak/>
              <w:t>GRP</w:t>
            </w:r>
          </w:p>
        </w:tc>
      </w:tr>
      <w:tr w:rsidR="009C1D6B" w:rsidRPr="006B5ED7" w14:paraId="42F66691" w14:textId="77777777" w:rsidTr="00FA6357">
        <w:tc>
          <w:tcPr>
            <w:tcW w:w="2989" w:type="pct"/>
            <w:shd w:val="clear" w:color="auto" w:fill="F2F2F2" w:themeFill="background1" w:themeFillShade="F2"/>
          </w:tcPr>
          <w:p w14:paraId="2A435FB3" w14:textId="7E64C76B" w:rsidR="008853D8" w:rsidRPr="00E20074" w:rsidRDefault="008853D8" w:rsidP="00EB4628">
            <w:pPr>
              <w:jc w:val="both"/>
              <w:rPr>
                <w:rFonts w:ascii="Century Gothic" w:hAnsi="Century Gothic"/>
                <w:bCs/>
                <w:sz w:val="18"/>
                <w:szCs w:val="18"/>
                <w:lang w:val="en-GB"/>
              </w:rPr>
            </w:pPr>
            <w:r w:rsidRPr="00E20074">
              <w:rPr>
                <w:rFonts w:ascii="Century Gothic" w:hAnsi="Century Gothic"/>
                <w:bCs/>
                <w:sz w:val="18"/>
                <w:szCs w:val="18"/>
                <w:lang w:val="en-GB"/>
              </w:rPr>
              <w:t>Rule 4 of LN 167/2013 sets out the requirements that the beneficiary must fulfil but does not stipulate how fulfilment of these requirement is proved or checked</w:t>
            </w:r>
            <w:r w:rsidR="00421BD7" w:rsidRPr="00421BD7">
              <w:rPr>
                <w:rFonts w:ascii="Century Gothic" w:hAnsi="Century Gothic"/>
                <w:bCs/>
                <w:sz w:val="18"/>
                <w:szCs w:val="18"/>
                <w:lang w:val="en-GB"/>
              </w:rPr>
              <w:t>.</w:t>
            </w:r>
          </w:p>
          <w:p w14:paraId="247F3EFE" w14:textId="08526C33" w:rsidR="008853D8" w:rsidRPr="00E20074" w:rsidRDefault="008853D8" w:rsidP="00EB4628">
            <w:pPr>
              <w:tabs>
                <w:tab w:val="left" w:pos="0"/>
              </w:tabs>
              <w:suppressAutoHyphens/>
              <w:ind w:left="340" w:right="340"/>
              <w:jc w:val="both"/>
              <w:rPr>
                <w:rFonts w:ascii="Century Gothic" w:hAnsi="Century Gothic"/>
                <w:bCs/>
                <w:sz w:val="18"/>
                <w:szCs w:val="18"/>
                <w:lang w:val="en-GB"/>
              </w:rPr>
            </w:pPr>
          </w:p>
          <w:p w14:paraId="76ECF0A3" w14:textId="77777777" w:rsidR="00E20074" w:rsidRDefault="00C4365A" w:rsidP="00E20074">
            <w:pPr>
              <w:jc w:val="both"/>
              <w:rPr>
                <w:rFonts w:ascii="Century Gothic" w:hAnsi="Century Gothic"/>
                <w:bCs/>
                <w:sz w:val="18"/>
                <w:szCs w:val="18"/>
                <w:lang w:val="en-GB"/>
              </w:rPr>
            </w:pPr>
            <w:r w:rsidRPr="00E20074">
              <w:rPr>
                <w:rFonts w:ascii="Century Gothic" w:hAnsi="Century Gothic"/>
                <w:bCs/>
                <w:sz w:val="18"/>
                <w:szCs w:val="18"/>
                <w:lang w:val="en-GB"/>
              </w:rPr>
              <w:t>Authorised</w:t>
            </w:r>
            <w:r w:rsidR="008853D8" w:rsidRPr="00E20074">
              <w:rPr>
                <w:rFonts w:ascii="Century Gothic" w:hAnsi="Century Gothic"/>
                <w:bCs/>
                <w:sz w:val="18"/>
                <w:szCs w:val="18"/>
                <w:lang w:val="en-GB"/>
              </w:rPr>
              <w:t xml:space="preserve"> registered mandator</w:t>
            </w:r>
            <w:r w:rsidRPr="00E20074">
              <w:rPr>
                <w:rFonts w:ascii="Century Gothic" w:hAnsi="Century Gothic"/>
                <w:bCs/>
                <w:sz w:val="18"/>
                <w:szCs w:val="18"/>
                <w:lang w:val="en-GB"/>
              </w:rPr>
              <w:t>ies</w:t>
            </w:r>
            <w:r w:rsidR="008853D8" w:rsidRPr="00E20074">
              <w:rPr>
                <w:rFonts w:ascii="Century Gothic" w:hAnsi="Century Gothic"/>
                <w:bCs/>
                <w:sz w:val="18"/>
                <w:szCs w:val="18"/>
                <w:lang w:val="en-GB"/>
              </w:rPr>
              <w:t xml:space="preserve"> need to carry out certain checks on the applicant as part of </w:t>
            </w:r>
            <w:r w:rsidR="008853D8" w:rsidRPr="00E20074">
              <w:rPr>
                <w:rFonts w:ascii="Century Gothic" w:hAnsi="Century Gothic"/>
                <w:b/>
                <w:bCs/>
                <w:sz w:val="18"/>
                <w:szCs w:val="18"/>
                <w:lang w:val="en-GB"/>
              </w:rPr>
              <w:t>know-your-client</w:t>
            </w:r>
            <w:r w:rsidR="008853D8" w:rsidRPr="00E20074">
              <w:rPr>
                <w:rFonts w:ascii="Century Gothic" w:hAnsi="Century Gothic"/>
                <w:bCs/>
                <w:sz w:val="18"/>
                <w:szCs w:val="18"/>
                <w:lang w:val="en-GB"/>
              </w:rPr>
              <w:t xml:space="preserve"> </w:t>
            </w:r>
            <w:r w:rsidR="008853D8" w:rsidRPr="00784099">
              <w:rPr>
                <w:rFonts w:ascii="Century Gothic" w:hAnsi="Century Gothic"/>
                <w:bCs/>
                <w:sz w:val="18"/>
                <w:szCs w:val="18"/>
                <w:lang w:val="en-GB"/>
              </w:rPr>
              <w:t>requirements</w:t>
            </w:r>
            <w:r w:rsidRPr="00784099">
              <w:rPr>
                <w:rFonts w:ascii="Century Gothic" w:hAnsi="Century Gothic"/>
                <w:bCs/>
                <w:sz w:val="18"/>
                <w:szCs w:val="18"/>
                <w:lang w:val="en-GB"/>
              </w:rPr>
              <w:t xml:space="preserve"> </w:t>
            </w:r>
            <w:r w:rsidR="00784099">
              <w:rPr>
                <w:rFonts w:ascii="Century Gothic" w:hAnsi="Century Gothic"/>
                <w:bCs/>
                <w:sz w:val="18"/>
                <w:szCs w:val="18"/>
                <w:lang w:val="en-GB"/>
              </w:rPr>
              <w:t>aimed at</w:t>
            </w:r>
            <w:r>
              <w:rPr>
                <w:rFonts w:ascii="Century Gothic" w:hAnsi="Century Gothic"/>
                <w:bCs/>
                <w:sz w:val="18"/>
                <w:szCs w:val="18"/>
                <w:lang w:val="en-GB"/>
              </w:rPr>
              <w:t xml:space="preserve"> properly identify</w:t>
            </w:r>
            <w:r w:rsidR="00784099">
              <w:rPr>
                <w:rFonts w:ascii="Century Gothic" w:hAnsi="Century Gothic"/>
                <w:bCs/>
                <w:sz w:val="18"/>
                <w:szCs w:val="18"/>
                <w:lang w:val="en-GB"/>
              </w:rPr>
              <w:t>ing</w:t>
            </w:r>
            <w:r>
              <w:rPr>
                <w:rFonts w:ascii="Century Gothic" w:hAnsi="Century Gothic"/>
                <w:bCs/>
                <w:sz w:val="18"/>
                <w:szCs w:val="18"/>
                <w:lang w:val="en-GB"/>
              </w:rPr>
              <w:t xml:space="preserve"> their clients and ascertain</w:t>
            </w:r>
            <w:r w:rsidR="00784099">
              <w:rPr>
                <w:rFonts w:ascii="Century Gothic" w:hAnsi="Century Gothic"/>
                <w:bCs/>
                <w:sz w:val="18"/>
                <w:szCs w:val="18"/>
                <w:lang w:val="en-GB"/>
              </w:rPr>
              <w:t>ing</w:t>
            </w:r>
            <w:r>
              <w:rPr>
                <w:rFonts w:ascii="Century Gothic" w:hAnsi="Century Gothic"/>
                <w:bCs/>
                <w:sz w:val="18"/>
                <w:szCs w:val="18"/>
                <w:lang w:val="en-GB"/>
              </w:rPr>
              <w:t xml:space="preserve"> that the information relevant to the application is correct.</w:t>
            </w:r>
            <w:r>
              <w:rPr>
                <w:rStyle w:val="FootnoteReference"/>
                <w:rFonts w:ascii="Century Gothic" w:hAnsi="Century Gothic"/>
                <w:bCs/>
                <w:sz w:val="18"/>
                <w:szCs w:val="18"/>
                <w:lang w:val="en-GB"/>
              </w:rPr>
              <w:footnoteReference w:id="141"/>
            </w:r>
            <w:r w:rsidR="00C717CC">
              <w:rPr>
                <w:rFonts w:ascii="Century Gothic" w:hAnsi="Century Gothic"/>
                <w:bCs/>
                <w:sz w:val="18"/>
                <w:szCs w:val="18"/>
                <w:lang w:val="en-GB"/>
              </w:rPr>
              <w:t xml:space="preserve"> </w:t>
            </w:r>
            <w:r>
              <w:rPr>
                <w:rFonts w:ascii="Century Gothic" w:hAnsi="Century Gothic"/>
                <w:bCs/>
                <w:sz w:val="18"/>
                <w:szCs w:val="18"/>
                <w:lang w:val="en-GB"/>
              </w:rPr>
              <w:t>These checks</w:t>
            </w:r>
            <w:r w:rsidR="00C717CC">
              <w:rPr>
                <w:rFonts w:ascii="Century Gothic" w:hAnsi="Century Gothic"/>
                <w:bCs/>
                <w:sz w:val="18"/>
                <w:szCs w:val="18"/>
                <w:lang w:val="en-GB"/>
              </w:rPr>
              <w:t xml:space="preserve"> would go towards the proof required by </w:t>
            </w:r>
            <w:r w:rsidR="00C717CC" w:rsidRPr="00E20074">
              <w:rPr>
                <w:rFonts w:ascii="Century Gothic" w:hAnsi="Century Gothic"/>
                <w:bCs/>
                <w:sz w:val="18"/>
                <w:szCs w:val="18"/>
                <w:lang w:val="en-GB"/>
              </w:rPr>
              <w:t>Rule 4(h) of LN 167/2013 that the beneficiary is ‘a fit and proper person’</w:t>
            </w:r>
            <w:r w:rsidR="008853D8" w:rsidRPr="00784099">
              <w:rPr>
                <w:rFonts w:ascii="Century Gothic" w:hAnsi="Century Gothic"/>
                <w:bCs/>
                <w:sz w:val="18"/>
                <w:szCs w:val="18"/>
                <w:lang w:val="en-GB"/>
              </w:rPr>
              <w:t>.</w:t>
            </w:r>
            <w:r w:rsidR="008853D8">
              <w:rPr>
                <w:rFonts w:ascii="Century Gothic" w:hAnsi="Century Gothic"/>
                <w:bCs/>
                <w:sz w:val="18"/>
                <w:szCs w:val="18"/>
                <w:lang w:val="en-GB"/>
              </w:rPr>
              <w:t xml:space="preserve"> </w:t>
            </w:r>
            <w:r w:rsidR="00C717CC">
              <w:rPr>
                <w:rFonts w:ascii="Century Gothic" w:hAnsi="Century Gothic"/>
                <w:bCs/>
                <w:sz w:val="18"/>
                <w:szCs w:val="18"/>
                <w:lang w:val="en-GB"/>
              </w:rPr>
              <w:t>In fact, Part 6 of the GRP application form</w:t>
            </w:r>
            <w:r w:rsidR="00F62C1B">
              <w:rPr>
                <w:rStyle w:val="FootnoteReference"/>
                <w:rFonts w:ascii="Century Gothic" w:hAnsi="Century Gothic"/>
                <w:bCs/>
                <w:sz w:val="18"/>
                <w:szCs w:val="18"/>
                <w:lang w:val="en-GB"/>
              </w:rPr>
              <w:footnoteReference w:id="142"/>
            </w:r>
            <w:r w:rsidR="00C717CC">
              <w:rPr>
                <w:rFonts w:ascii="Century Gothic" w:hAnsi="Century Gothic"/>
                <w:bCs/>
                <w:sz w:val="18"/>
                <w:szCs w:val="18"/>
                <w:lang w:val="en-GB"/>
              </w:rPr>
              <w:t xml:space="preserve"> </w:t>
            </w:r>
            <w:r w:rsidR="00F62C1B">
              <w:rPr>
                <w:rFonts w:ascii="Century Gothic" w:hAnsi="Century Gothic"/>
                <w:bCs/>
                <w:sz w:val="18"/>
                <w:szCs w:val="18"/>
                <w:lang w:val="en-GB"/>
              </w:rPr>
              <w:t xml:space="preserve">contains a declaration to be made by the authorised registered mandatory whereby the mandatory must ‘having taken all reasonable and necessary measures, …declare that, to the best of my </w:t>
            </w:r>
            <w:r w:rsidR="00784099">
              <w:rPr>
                <w:rFonts w:ascii="Century Gothic" w:hAnsi="Century Gothic"/>
                <w:bCs/>
                <w:sz w:val="18"/>
                <w:szCs w:val="18"/>
                <w:lang w:val="en-GB"/>
              </w:rPr>
              <w:t>knowledge</w:t>
            </w:r>
            <w:r w:rsidR="00F62C1B">
              <w:rPr>
                <w:rFonts w:ascii="Century Gothic" w:hAnsi="Century Gothic"/>
                <w:bCs/>
                <w:sz w:val="18"/>
                <w:szCs w:val="18"/>
                <w:lang w:val="en-GB"/>
              </w:rPr>
              <w:t xml:space="preserve">, the applicant:’. The </w:t>
            </w:r>
            <w:r w:rsidR="00F62C1B">
              <w:rPr>
                <w:rFonts w:ascii="Century Gothic" w:hAnsi="Century Gothic"/>
                <w:bCs/>
                <w:sz w:val="18"/>
                <w:szCs w:val="18"/>
                <w:lang w:val="en-GB"/>
              </w:rPr>
              <w:lastRenderedPageBreak/>
              <w:t xml:space="preserve">application form then lists the requirements in line with Rule 4 of LN 167/2013. The mandatory must also declare that the information in the application is to the best of his knowledge </w:t>
            </w:r>
            <w:r w:rsidR="00784099">
              <w:rPr>
                <w:rFonts w:ascii="Century Gothic" w:hAnsi="Century Gothic"/>
                <w:bCs/>
                <w:sz w:val="18"/>
                <w:szCs w:val="18"/>
                <w:lang w:val="en-GB"/>
              </w:rPr>
              <w:t>‘</w:t>
            </w:r>
            <w:r w:rsidR="00F62C1B">
              <w:rPr>
                <w:rFonts w:ascii="Century Gothic" w:hAnsi="Century Gothic"/>
                <w:bCs/>
                <w:sz w:val="18"/>
                <w:szCs w:val="18"/>
                <w:lang w:val="en-GB"/>
              </w:rPr>
              <w:t>tru</w:t>
            </w:r>
            <w:r w:rsidR="00784099">
              <w:rPr>
                <w:rFonts w:ascii="Century Gothic" w:hAnsi="Century Gothic"/>
                <w:bCs/>
                <w:sz w:val="18"/>
                <w:szCs w:val="18"/>
                <w:lang w:val="en-GB"/>
              </w:rPr>
              <w:t>e</w:t>
            </w:r>
            <w:r w:rsidR="00F62C1B">
              <w:rPr>
                <w:rFonts w:ascii="Century Gothic" w:hAnsi="Century Gothic"/>
                <w:bCs/>
                <w:sz w:val="18"/>
                <w:szCs w:val="18"/>
                <w:lang w:val="en-GB"/>
              </w:rPr>
              <w:t xml:space="preserve">, </w:t>
            </w:r>
            <w:r w:rsidR="00784099">
              <w:rPr>
                <w:rFonts w:ascii="Century Gothic" w:hAnsi="Century Gothic"/>
                <w:bCs/>
                <w:sz w:val="18"/>
                <w:szCs w:val="18"/>
                <w:lang w:val="en-GB"/>
              </w:rPr>
              <w:t>complete</w:t>
            </w:r>
            <w:r w:rsidR="00F62C1B">
              <w:rPr>
                <w:rFonts w:ascii="Century Gothic" w:hAnsi="Century Gothic"/>
                <w:bCs/>
                <w:sz w:val="18"/>
                <w:szCs w:val="18"/>
                <w:lang w:val="en-GB"/>
              </w:rPr>
              <w:t xml:space="preserve"> and correct’ and </w:t>
            </w:r>
            <w:r w:rsidR="00421BD7">
              <w:rPr>
                <w:rFonts w:ascii="Century Gothic" w:hAnsi="Century Gothic"/>
                <w:bCs/>
                <w:sz w:val="18"/>
                <w:szCs w:val="18"/>
                <w:lang w:val="en-GB"/>
              </w:rPr>
              <w:t xml:space="preserve">that </w:t>
            </w:r>
            <w:r w:rsidR="00F62C1B">
              <w:rPr>
                <w:rFonts w:ascii="Century Gothic" w:hAnsi="Century Gothic"/>
                <w:bCs/>
                <w:sz w:val="18"/>
                <w:szCs w:val="18"/>
                <w:lang w:val="en-GB"/>
              </w:rPr>
              <w:t>the applicant is a</w:t>
            </w:r>
            <w:r w:rsidR="00421BD7">
              <w:rPr>
                <w:rFonts w:ascii="Century Gothic" w:hAnsi="Century Gothic"/>
                <w:bCs/>
                <w:sz w:val="18"/>
                <w:szCs w:val="18"/>
                <w:lang w:val="en-GB"/>
              </w:rPr>
              <w:t xml:space="preserve">ware </w:t>
            </w:r>
            <w:r w:rsidR="00F62C1B">
              <w:rPr>
                <w:rFonts w:ascii="Century Gothic" w:hAnsi="Century Gothic"/>
                <w:bCs/>
                <w:sz w:val="18"/>
                <w:szCs w:val="18"/>
                <w:lang w:val="en-GB"/>
              </w:rPr>
              <w:t xml:space="preserve">of the relevant rules and obligations. </w:t>
            </w:r>
          </w:p>
          <w:p w14:paraId="62330E2B" w14:textId="77777777" w:rsidR="00E20074" w:rsidRDefault="00E20074" w:rsidP="00E20074">
            <w:pPr>
              <w:jc w:val="both"/>
              <w:rPr>
                <w:rFonts w:ascii="Century Gothic" w:hAnsi="Century Gothic"/>
                <w:bCs/>
                <w:sz w:val="18"/>
                <w:szCs w:val="18"/>
                <w:lang w:val="en-GB"/>
              </w:rPr>
            </w:pPr>
          </w:p>
          <w:p w14:paraId="2B6708DE" w14:textId="7AD89758" w:rsidR="00F62C1B" w:rsidRPr="00F62C1B" w:rsidRDefault="00F62C1B" w:rsidP="00E20074">
            <w:pPr>
              <w:jc w:val="both"/>
              <w:rPr>
                <w:rFonts w:ascii="Century Gothic" w:hAnsi="Century Gothic"/>
                <w:bCs/>
                <w:sz w:val="18"/>
                <w:szCs w:val="18"/>
                <w:lang w:val="en-US"/>
              </w:rPr>
            </w:pPr>
            <w:r>
              <w:rPr>
                <w:rFonts w:ascii="Century Gothic" w:hAnsi="Century Gothic"/>
                <w:bCs/>
                <w:sz w:val="18"/>
                <w:szCs w:val="18"/>
                <w:lang w:val="en-GB"/>
              </w:rPr>
              <w:t xml:space="preserve">A number of documents must be attached to the application </w:t>
            </w:r>
            <w:r w:rsidR="00421BD7">
              <w:rPr>
                <w:rFonts w:ascii="Century Gothic" w:hAnsi="Century Gothic"/>
                <w:bCs/>
                <w:sz w:val="18"/>
                <w:szCs w:val="18"/>
                <w:lang w:val="en-GB"/>
              </w:rPr>
              <w:t xml:space="preserve">form </w:t>
            </w:r>
            <w:r>
              <w:rPr>
                <w:rFonts w:ascii="Century Gothic" w:hAnsi="Century Gothic"/>
                <w:bCs/>
                <w:sz w:val="18"/>
                <w:szCs w:val="18"/>
                <w:lang w:val="en-GB"/>
              </w:rPr>
              <w:t>to prove fulfilment of the Rule 4 requirement</w:t>
            </w:r>
            <w:r w:rsidR="00421BD7">
              <w:rPr>
                <w:rFonts w:ascii="Century Gothic" w:hAnsi="Century Gothic"/>
                <w:bCs/>
                <w:sz w:val="18"/>
                <w:szCs w:val="18"/>
                <w:lang w:val="en-GB"/>
              </w:rPr>
              <w:t>s</w:t>
            </w:r>
            <w:r>
              <w:rPr>
                <w:rFonts w:ascii="Century Gothic" w:hAnsi="Century Gothic"/>
                <w:bCs/>
                <w:sz w:val="18"/>
                <w:szCs w:val="18"/>
                <w:lang w:val="en-GB"/>
              </w:rPr>
              <w:t xml:space="preserve"> including a </w:t>
            </w:r>
            <w:r w:rsidRPr="00D5394E">
              <w:rPr>
                <w:rFonts w:ascii="Century Gothic" w:hAnsi="Century Gothic"/>
                <w:b/>
                <w:bCs/>
                <w:sz w:val="18"/>
                <w:szCs w:val="18"/>
                <w:lang w:val="en-GB"/>
              </w:rPr>
              <w:t>conduct certificate</w:t>
            </w:r>
            <w:r>
              <w:rPr>
                <w:rFonts w:ascii="Century Gothic" w:hAnsi="Century Gothic"/>
                <w:bCs/>
                <w:sz w:val="18"/>
                <w:szCs w:val="18"/>
                <w:lang w:val="en-GB"/>
              </w:rPr>
              <w:t xml:space="preserve"> issued not earlie</w:t>
            </w:r>
            <w:r w:rsidR="00421BD7">
              <w:rPr>
                <w:rFonts w:ascii="Century Gothic" w:hAnsi="Century Gothic"/>
                <w:bCs/>
                <w:sz w:val="18"/>
                <w:szCs w:val="18"/>
                <w:lang w:val="en-GB"/>
              </w:rPr>
              <w:t xml:space="preserve">r than six months prior to the </w:t>
            </w:r>
            <w:r>
              <w:rPr>
                <w:rFonts w:ascii="Century Gothic" w:hAnsi="Century Gothic"/>
                <w:bCs/>
                <w:sz w:val="18"/>
                <w:szCs w:val="18"/>
                <w:lang w:val="en-GB"/>
              </w:rPr>
              <w:t xml:space="preserve">date of submission of the application by the country in which the applicant was last resident. </w:t>
            </w:r>
            <w:r w:rsidRPr="00F62C1B">
              <w:rPr>
                <w:rFonts w:ascii="Century Gothic" w:hAnsi="Century Gothic"/>
                <w:bCs/>
                <w:sz w:val="18"/>
                <w:szCs w:val="18"/>
                <w:lang w:val="en-US"/>
              </w:rPr>
              <w:t xml:space="preserve">If </w:t>
            </w:r>
            <w:r>
              <w:rPr>
                <w:rFonts w:ascii="Century Gothic" w:hAnsi="Century Gothic"/>
                <w:bCs/>
                <w:sz w:val="18"/>
                <w:szCs w:val="18"/>
                <w:lang w:val="en-US"/>
              </w:rPr>
              <w:t>p</w:t>
            </w:r>
            <w:r w:rsidRPr="00F62C1B">
              <w:rPr>
                <w:rFonts w:ascii="Century Gothic" w:hAnsi="Century Gothic"/>
                <w:bCs/>
                <w:sz w:val="18"/>
                <w:szCs w:val="18"/>
                <w:lang w:val="en-US"/>
              </w:rPr>
              <w:t xml:space="preserve">olice </w:t>
            </w:r>
            <w:r>
              <w:rPr>
                <w:rFonts w:ascii="Century Gothic" w:hAnsi="Century Gothic"/>
                <w:bCs/>
                <w:sz w:val="18"/>
                <w:szCs w:val="18"/>
                <w:lang w:val="en-US"/>
              </w:rPr>
              <w:t>a</w:t>
            </w:r>
            <w:r w:rsidRPr="00F62C1B">
              <w:rPr>
                <w:rFonts w:ascii="Century Gothic" w:hAnsi="Century Gothic"/>
                <w:bCs/>
                <w:sz w:val="18"/>
                <w:szCs w:val="18"/>
                <w:lang w:val="en-US"/>
              </w:rPr>
              <w:t xml:space="preserve">uthorities of the individual’s last country of residence do not issue any conduct certificates, </w:t>
            </w:r>
            <w:r w:rsidRPr="00D5394E">
              <w:rPr>
                <w:rFonts w:ascii="Century Gothic" w:hAnsi="Century Gothic"/>
                <w:b/>
                <w:bCs/>
                <w:sz w:val="18"/>
                <w:szCs w:val="18"/>
                <w:lang w:val="en-US"/>
              </w:rPr>
              <w:t>character references</w:t>
            </w:r>
            <w:r w:rsidRPr="00F62C1B">
              <w:rPr>
                <w:rFonts w:ascii="Century Gothic" w:hAnsi="Century Gothic"/>
                <w:bCs/>
                <w:sz w:val="18"/>
                <w:szCs w:val="18"/>
                <w:lang w:val="en-US"/>
              </w:rPr>
              <w:t xml:space="preserve"> from any three of the following </w:t>
            </w:r>
            <w:r w:rsidR="00EE1F63">
              <w:rPr>
                <w:rFonts w:ascii="Century Gothic" w:hAnsi="Century Gothic"/>
                <w:bCs/>
                <w:sz w:val="18"/>
                <w:szCs w:val="18"/>
                <w:lang w:val="en-US"/>
              </w:rPr>
              <w:t>must</w:t>
            </w:r>
            <w:r w:rsidRPr="00F62C1B">
              <w:rPr>
                <w:rFonts w:ascii="Century Gothic" w:hAnsi="Century Gothic"/>
                <w:bCs/>
                <w:sz w:val="18"/>
                <w:szCs w:val="18"/>
                <w:lang w:val="en-US"/>
              </w:rPr>
              <w:t xml:space="preserve"> be submitted: </w:t>
            </w:r>
            <w:r>
              <w:rPr>
                <w:rFonts w:ascii="Century Gothic" w:hAnsi="Century Gothic"/>
                <w:bCs/>
                <w:sz w:val="18"/>
                <w:szCs w:val="18"/>
                <w:lang w:val="en-US"/>
              </w:rPr>
              <w:t xml:space="preserve">the individual’s bankers, lawyers, </w:t>
            </w:r>
            <w:r w:rsidR="00585ACE">
              <w:rPr>
                <w:rFonts w:ascii="Century Gothic" w:hAnsi="Century Gothic"/>
                <w:bCs/>
                <w:sz w:val="18"/>
                <w:szCs w:val="18"/>
                <w:lang w:val="en-US"/>
              </w:rPr>
              <w:t>doctors</w:t>
            </w:r>
            <w:r>
              <w:rPr>
                <w:rFonts w:ascii="Century Gothic" w:hAnsi="Century Gothic"/>
                <w:bCs/>
                <w:sz w:val="18"/>
                <w:szCs w:val="18"/>
                <w:lang w:val="en-US"/>
              </w:rPr>
              <w:t>, employers, accounts o</w:t>
            </w:r>
            <w:r w:rsidR="00421BD7">
              <w:rPr>
                <w:rFonts w:ascii="Century Gothic" w:hAnsi="Century Gothic"/>
                <w:bCs/>
                <w:sz w:val="18"/>
                <w:szCs w:val="18"/>
                <w:lang w:val="en-US"/>
              </w:rPr>
              <w:t>r</w:t>
            </w:r>
            <w:r>
              <w:rPr>
                <w:rFonts w:ascii="Century Gothic" w:hAnsi="Century Gothic"/>
                <w:bCs/>
                <w:sz w:val="18"/>
                <w:szCs w:val="18"/>
                <w:lang w:val="en-US"/>
              </w:rPr>
              <w:t xml:space="preserve"> ‘other person of similar standing’.</w:t>
            </w:r>
            <w:r w:rsidR="00421BD7">
              <w:rPr>
                <w:rStyle w:val="FootnoteReference"/>
                <w:rFonts w:ascii="Century Gothic" w:hAnsi="Century Gothic"/>
                <w:bCs/>
                <w:sz w:val="18"/>
                <w:szCs w:val="18"/>
                <w:lang w:val="en-US"/>
              </w:rPr>
              <w:footnoteReference w:id="143"/>
            </w:r>
          </w:p>
          <w:p w14:paraId="28561662" w14:textId="24075AC8" w:rsidR="00585ACE" w:rsidRDefault="00585ACE" w:rsidP="00EB4628">
            <w:pPr>
              <w:jc w:val="both"/>
              <w:rPr>
                <w:rFonts w:ascii="Century Gothic" w:hAnsi="Century Gothic"/>
                <w:bCs/>
                <w:sz w:val="18"/>
                <w:szCs w:val="18"/>
                <w:lang w:val="en-US"/>
              </w:rPr>
            </w:pPr>
          </w:p>
          <w:p w14:paraId="0564D77E" w14:textId="1CF9F6B8" w:rsidR="00EE1F63" w:rsidRDefault="00EE1F63" w:rsidP="00EE1F63">
            <w:pPr>
              <w:jc w:val="both"/>
              <w:rPr>
                <w:rFonts w:ascii="Century Gothic" w:hAnsi="Century Gothic"/>
                <w:bCs/>
                <w:sz w:val="18"/>
                <w:szCs w:val="18"/>
                <w:lang w:val="en-GB"/>
              </w:rPr>
            </w:pPr>
            <w:r>
              <w:rPr>
                <w:rFonts w:ascii="Century Gothic" w:hAnsi="Century Gothic"/>
                <w:bCs/>
                <w:sz w:val="18"/>
                <w:szCs w:val="18"/>
                <w:lang w:val="en-GB"/>
              </w:rPr>
              <w:t xml:space="preserve">Presumably, as with the MRVP, the </w:t>
            </w:r>
            <w:r w:rsidRPr="00D5394E">
              <w:rPr>
                <w:rFonts w:ascii="Century Gothic" w:hAnsi="Century Gothic"/>
                <w:b/>
                <w:bCs/>
                <w:sz w:val="18"/>
                <w:szCs w:val="18"/>
                <w:lang w:val="en-GB"/>
              </w:rPr>
              <w:t>source of money</w:t>
            </w:r>
            <w:r>
              <w:rPr>
                <w:rFonts w:ascii="Century Gothic" w:hAnsi="Century Gothic"/>
                <w:bCs/>
                <w:sz w:val="18"/>
                <w:szCs w:val="18"/>
                <w:lang w:val="en-GB"/>
              </w:rPr>
              <w:t xml:space="preserve"> used for the lease or purchase of the qualifying property is verified by the respective landlord and/or real estate agent from whom the property is leased or purchased.</w:t>
            </w:r>
          </w:p>
          <w:p w14:paraId="49326CAB" w14:textId="77777777" w:rsidR="00EE1F63" w:rsidRPr="00EE1F63" w:rsidRDefault="00EE1F63" w:rsidP="00EB4628">
            <w:pPr>
              <w:jc w:val="both"/>
              <w:rPr>
                <w:rFonts w:ascii="Century Gothic" w:hAnsi="Century Gothic"/>
                <w:bCs/>
                <w:sz w:val="18"/>
                <w:szCs w:val="18"/>
                <w:lang w:val="en-GB"/>
              </w:rPr>
            </w:pPr>
          </w:p>
          <w:p w14:paraId="5D0D8C6F" w14:textId="7310EC64" w:rsidR="008853D8" w:rsidRDefault="008853D8" w:rsidP="00EB4628">
            <w:pPr>
              <w:jc w:val="both"/>
              <w:rPr>
                <w:rFonts w:ascii="Century Gothic" w:hAnsi="Century Gothic"/>
                <w:bCs/>
                <w:sz w:val="18"/>
                <w:szCs w:val="18"/>
                <w:highlight w:val="yellow"/>
                <w:lang w:val="en-GB"/>
              </w:rPr>
            </w:pPr>
            <w:r>
              <w:rPr>
                <w:rFonts w:ascii="Century Gothic" w:hAnsi="Century Gothic"/>
                <w:bCs/>
                <w:sz w:val="18"/>
                <w:szCs w:val="18"/>
                <w:lang w:val="en-GB"/>
              </w:rPr>
              <w:t>Rule 5(</w:t>
            </w:r>
            <w:r w:rsidR="00C717CC">
              <w:rPr>
                <w:rFonts w:ascii="Century Gothic" w:hAnsi="Century Gothic"/>
                <w:bCs/>
                <w:sz w:val="18"/>
                <w:szCs w:val="18"/>
                <w:lang w:val="en-GB"/>
              </w:rPr>
              <w:t>4</w:t>
            </w:r>
            <w:r>
              <w:rPr>
                <w:rFonts w:ascii="Century Gothic" w:hAnsi="Century Gothic"/>
                <w:bCs/>
                <w:sz w:val="18"/>
                <w:szCs w:val="18"/>
                <w:lang w:val="en-GB"/>
              </w:rPr>
              <w:t>)(</w:t>
            </w:r>
            <w:r w:rsidR="00C717CC">
              <w:rPr>
                <w:rFonts w:ascii="Century Gothic" w:hAnsi="Century Gothic"/>
                <w:bCs/>
                <w:sz w:val="18"/>
                <w:szCs w:val="18"/>
                <w:lang w:val="en-GB"/>
              </w:rPr>
              <w:t>b</w:t>
            </w:r>
            <w:r>
              <w:rPr>
                <w:rFonts w:ascii="Century Gothic" w:hAnsi="Century Gothic"/>
                <w:bCs/>
                <w:sz w:val="18"/>
                <w:szCs w:val="18"/>
                <w:lang w:val="en-GB"/>
              </w:rPr>
              <w:t xml:space="preserve">) of LN 167/2013 </w:t>
            </w:r>
            <w:r w:rsidR="00C717CC">
              <w:rPr>
                <w:rFonts w:ascii="Century Gothic" w:hAnsi="Century Gothic"/>
                <w:bCs/>
                <w:sz w:val="18"/>
                <w:szCs w:val="18"/>
                <w:lang w:val="en-GB"/>
              </w:rPr>
              <w:t xml:space="preserve">requires the authorised registered mandatory to: </w:t>
            </w:r>
          </w:p>
          <w:p w14:paraId="755BC142" w14:textId="34228C05" w:rsidR="006977F0" w:rsidRPr="00B502BE" w:rsidRDefault="00C717CC" w:rsidP="00EB4628">
            <w:pPr>
              <w:jc w:val="both"/>
              <w:rPr>
                <w:rFonts w:ascii="Century Gothic" w:hAnsi="Century Gothic"/>
                <w:b/>
                <w:bCs/>
                <w:sz w:val="18"/>
                <w:szCs w:val="18"/>
                <w:lang w:val="en-GB"/>
              </w:rPr>
            </w:pPr>
            <w:r w:rsidRPr="00D5394E">
              <w:rPr>
                <w:rFonts w:ascii="Century Gothic" w:hAnsi="Century Gothic"/>
                <w:bCs/>
                <w:sz w:val="18"/>
                <w:szCs w:val="18"/>
                <w:lang w:val="en-GB"/>
              </w:rPr>
              <w:t>(</w:t>
            </w:r>
            <w:proofErr w:type="spellStart"/>
            <w:r w:rsidRPr="00D5394E">
              <w:rPr>
                <w:rFonts w:ascii="Century Gothic" w:hAnsi="Century Gothic"/>
                <w:bCs/>
                <w:sz w:val="18"/>
                <w:szCs w:val="18"/>
                <w:lang w:val="en-GB"/>
              </w:rPr>
              <w:t>i</w:t>
            </w:r>
            <w:proofErr w:type="spellEnd"/>
            <w:r w:rsidRPr="00D5394E">
              <w:rPr>
                <w:rFonts w:ascii="Century Gothic" w:hAnsi="Century Gothic"/>
                <w:bCs/>
                <w:sz w:val="18"/>
                <w:szCs w:val="18"/>
                <w:lang w:val="en-GB"/>
              </w:rPr>
              <w:t>)</w:t>
            </w:r>
            <w:r w:rsidR="006977F0" w:rsidRPr="00B502BE">
              <w:rPr>
                <w:rFonts w:ascii="Century Gothic" w:hAnsi="Century Gothic"/>
                <w:bCs/>
                <w:sz w:val="18"/>
                <w:szCs w:val="18"/>
                <w:lang w:val="en-GB"/>
              </w:rPr>
              <w:t>Enquire and obtain information from the releva</w:t>
            </w:r>
            <w:r w:rsidR="00D12543" w:rsidRPr="00B502BE">
              <w:rPr>
                <w:rFonts w:ascii="Century Gothic" w:hAnsi="Century Gothic"/>
                <w:bCs/>
                <w:sz w:val="18"/>
                <w:szCs w:val="18"/>
                <w:lang w:val="en-GB"/>
              </w:rPr>
              <w:t>nt beneficiary as to whether s/</w:t>
            </w:r>
            <w:r w:rsidR="006977F0" w:rsidRPr="00B502BE">
              <w:rPr>
                <w:rFonts w:ascii="Century Gothic" w:hAnsi="Century Gothic"/>
                <w:bCs/>
                <w:sz w:val="18"/>
                <w:szCs w:val="18"/>
                <w:lang w:val="en-GB"/>
              </w:rPr>
              <w:t xml:space="preserve">he or any of his/her dependants fall under the </w:t>
            </w:r>
            <w:r w:rsidR="006977F0" w:rsidRPr="00B5305A">
              <w:rPr>
                <w:rFonts w:ascii="Century Gothic" w:hAnsi="Century Gothic"/>
                <w:bCs/>
                <w:sz w:val="18"/>
                <w:szCs w:val="18"/>
                <w:lang w:val="en-GB"/>
              </w:rPr>
              <w:t xml:space="preserve">definition of ‘long-term resident’ as at the 31 December of each </w:t>
            </w:r>
            <w:r w:rsidR="006977F0" w:rsidRPr="00C4365A">
              <w:rPr>
                <w:rFonts w:ascii="Century Gothic" w:hAnsi="Century Gothic"/>
                <w:bCs/>
                <w:sz w:val="18"/>
                <w:szCs w:val="18"/>
                <w:lang w:val="en-GB"/>
              </w:rPr>
              <w:t xml:space="preserve">year from the year of the </w:t>
            </w:r>
            <w:r w:rsidRPr="00D5394E">
              <w:rPr>
                <w:rFonts w:ascii="Century Gothic" w:hAnsi="Century Gothic"/>
                <w:bCs/>
                <w:sz w:val="18"/>
                <w:szCs w:val="18"/>
                <w:lang w:val="en-GB"/>
              </w:rPr>
              <w:t>date on which the Commissioner for Revenue determines in writing than in individual is granted special tax status under the GRP</w:t>
            </w:r>
            <w:r w:rsidR="006977F0" w:rsidRPr="00B502BE">
              <w:rPr>
                <w:rFonts w:ascii="Century Gothic" w:hAnsi="Century Gothic"/>
                <w:bCs/>
                <w:sz w:val="18"/>
                <w:szCs w:val="18"/>
                <w:lang w:val="en-GB"/>
              </w:rPr>
              <w:t xml:space="preserve"> onwards </w:t>
            </w:r>
            <w:r w:rsidR="006977F0" w:rsidRPr="00B502BE">
              <w:rPr>
                <w:rFonts w:ascii="Century Gothic" w:hAnsi="Century Gothic"/>
                <w:b/>
                <w:bCs/>
                <w:sz w:val="18"/>
                <w:szCs w:val="18"/>
                <w:lang w:val="en-GB"/>
              </w:rPr>
              <w:t>and</w:t>
            </w:r>
          </w:p>
          <w:p w14:paraId="488C8630" w14:textId="3EB9F45F" w:rsidR="006977F0" w:rsidRPr="00D5394E" w:rsidRDefault="00C717CC" w:rsidP="00EB4628">
            <w:pPr>
              <w:jc w:val="both"/>
              <w:rPr>
                <w:rFonts w:ascii="Century Gothic" w:hAnsi="Century Gothic"/>
                <w:bCs/>
                <w:sz w:val="18"/>
                <w:szCs w:val="18"/>
                <w:lang w:val="en-GB"/>
              </w:rPr>
            </w:pPr>
            <w:r w:rsidRPr="00D5394E">
              <w:rPr>
                <w:rFonts w:ascii="Century Gothic" w:hAnsi="Century Gothic"/>
                <w:bCs/>
                <w:sz w:val="18"/>
                <w:szCs w:val="18"/>
                <w:lang w:val="en-GB"/>
              </w:rPr>
              <w:t>(ii)</w:t>
            </w:r>
            <w:r w:rsidR="00D12543" w:rsidRPr="00B502BE">
              <w:rPr>
                <w:rFonts w:ascii="Century Gothic" w:hAnsi="Century Gothic"/>
                <w:bCs/>
                <w:sz w:val="18"/>
                <w:szCs w:val="18"/>
                <w:lang w:val="en-GB"/>
              </w:rPr>
              <w:t xml:space="preserve"> </w:t>
            </w:r>
            <w:r w:rsidR="006977F0" w:rsidRPr="00D5394E">
              <w:rPr>
                <w:rFonts w:ascii="Century Gothic" w:hAnsi="Century Gothic"/>
                <w:bCs/>
                <w:sz w:val="18"/>
                <w:szCs w:val="18"/>
                <w:lang w:val="en-GB"/>
              </w:rPr>
              <w:t xml:space="preserve">Notify the Commissioner for Revenue of any individual that is a beneficiary or dependant </w:t>
            </w:r>
            <w:r w:rsidR="006977F0" w:rsidRPr="00B502BE">
              <w:rPr>
                <w:rFonts w:ascii="Century Gothic" w:hAnsi="Century Gothic"/>
                <w:bCs/>
                <w:sz w:val="18"/>
                <w:szCs w:val="18"/>
                <w:lang w:val="en-GB"/>
              </w:rPr>
              <w:t>that</w:t>
            </w:r>
            <w:r w:rsidR="006977F0" w:rsidRPr="00D5394E">
              <w:rPr>
                <w:rFonts w:ascii="Century Gothic" w:hAnsi="Century Gothic"/>
                <w:bCs/>
                <w:sz w:val="18"/>
                <w:szCs w:val="18"/>
                <w:lang w:val="en-GB"/>
              </w:rPr>
              <w:t xml:space="preserve"> falls under the definition of ‘</w:t>
            </w:r>
            <w:r w:rsidR="006977F0" w:rsidRPr="00B502BE">
              <w:rPr>
                <w:rFonts w:ascii="Century Gothic" w:hAnsi="Century Gothic"/>
                <w:bCs/>
                <w:sz w:val="18"/>
                <w:szCs w:val="18"/>
                <w:lang w:val="en-GB"/>
              </w:rPr>
              <w:t>long-term</w:t>
            </w:r>
            <w:r w:rsidR="00D12543" w:rsidRPr="00B502BE">
              <w:rPr>
                <w:rFonts w:ascii="Century Gothic" w:hAnsi="Century Gothic"/>
                <w:bCs/>
                <w:sz w:val="18"/>
                <w:szCs w:val="18"/>
                <w:lang w:val="en-GB"/>
              </w:rPr>
              <w:t xml:space="preserve"> resident’</w:t>
            </w:r>
            <w:r w:rsidR="006977F0" w:rsidRPr="00D5394E">
              <w:rPr>
                <w:rFonts w:ascii="Century Gothic" w:hAnsi="Century Gothic"/>
                <w:bCs/>
                <w:sz w:val="18"/>
                <w:szCs w:val="18"/>
                <w:lang w:val="en-GB"/>
              </w:rPr>
              <w:t xml:space="preserve"> by not later than 30 April following the 31 </w:t>
            </w:r>
            <w:r w:rsidR="006977F0" w:rsidRPr="00B502BE">
              <w:rPr>
                <w:rFonts w:ascii="Century Gothic" w:hAnsi="Century Gothic"/>
                <w:bCs/>
                <w:sz w:val="18"/>
                <w:szCs w:val="18"/>
                <w:lang w:val="en-GB"/>
              </w:rPr>
              <w:t xml:space="preserve">December of the year mentioned above. Where the </w:t>
            </w:r>
            <w:r w:rsidR="00D12543" w:rsidRPr="00B5305A">
              <w:rPr>
                <w:rFonts w:ascii="Century Gothic" w:hAnsi="Century Gothic"/>
                <w:bCs/>
                <w:sz w:val="18"/>
                <w:szCs w:val="18"/>
                <w:lang w:val="en-GB"/>
              </w:rPr>
              <w:t>authorised</w:t>
            </w:r>
            <w:r w:rsidR="006977F0" w:rsidRPr="00B5305A">
              <w:rPr>
                <w:rFonts w:ascii="Century Gothic" w:hAnsi="Century Gothic"/>
                <w:bCs/>
                <w:sz w:val="18"/>
                <w:szCs w:val="18"/>
                <w:lang w:val="en-GB"/>
              </w:rPr>
              <w:t xml:space="preserve"> registered mandatory is not</w:t>
            </w:r>
            <w:r w:rsidR="006977F0" w:rsidRPr="00C4365A">
              <w:rPr>
                <w:rFonts w:ascii="Century Gothic" w:hAnsi="Century Gothic"/>
                <w:bCs/>
                <w:sz w:val="18"/>
                <w:szCs w:val="18"/>
                <w:lang w:val="en-GB"/>
              </w:rPr>
              <w:t xml:space="preserve"> able to obtain this information, he must notify the Commissioner for Revenue by the 30 April date and provide pro</w:t>
            </w:r>
            <w:r w:rsidR="00D12543" w:rsidRPr="00C4365A">
              <w:rPr>
                <w:rFonts w:ascii="Century Gothic" w:hAnsi="Century Gothic"/>
                <w:bCs/>
                <w:sz w:val="18"/>
                <w:szCs w:val="18"/>
                <w:lang w:val="en-GB"/>
              </w:rPr>
              <w:t>o</w:t>
            </w:r>
            <w:r w:rsidR="006977F0" w:rsidRPr="00C4365A">
              <w:rPr>
                <w:rFonts w:ascii="Century Gothic" w:hAnsi="Century Gothic"/>
                <w:bCs/>
                <w:sz w:val="18"/>
                <w:szCs w:val="18"/>
                <w:lang w:val="en-GB"/>
              </w:rPr>
              <w:t>f that at least two attempts at enquiry were made. Where the notifications are not made within the time specified, the mandatory will be liable to an admi</w:t>
            </w:r>
            <w:r w:rsidR="00AA4E8C" w:rsidRPr="00C4365A">
              <w:rPr>
                <w:rFonts w:ascii="Century Gothic" w:hAnsi="Century Gothic"/>
                <w:bCs/>
                <w:sz w:val="18"/>
                <w:szCs w:val="18"/>
                <w:lang w:val="en-GB"/>
              </w:rPr>
              <w:t>nistrative penalty of EUR 10,00</w:t>
            </w:r>
            <w:r w:rsidRPr="00D5394E">
              <w:rPr>
                <w:rFonts w:ascii="Century Gothic" w:hAnsi="Century Gothic"/>
                <w:bCs/>
                <w:sz w:val="18"/>
                <w:szCs w:val="18"/>
                <w:lang w:val="en-GB"/>
              </w:rPr>
              <w:t>0.</w:t>
            </w:r>
          </w:p>
          <w:p w14:paraId="1CC2CDC2" w14:textId="77777777" w:rsidR="00B90B81" w:rsidRDefault="00B90B81" w:rsidP="00EB4628">
            <w:pPr>
              <w:jc w:val="both"/>
              <w:rPr>
                <w:rFonts w:ascii="Century Gothic" w:hAnsi="Century Gothic"/>
                <w:bCs/>
                <w:sz w:val="18"/>
                <w:szCs w:val="18"/>
                <w:highlight w:val="yellow"/>
                <w:lang w:val="en-GB"/>
              </w:rPr>
            </w:pPr>
          </w:p>
          <w:p w14:paraId="32E1C15A" w14:textId="0A30D09A" w:rsidR="00B90B81" w:rsidRPr="00D5394E" w:rsidRDefault="00B90B81" w:rsidP="00EB4628">
            <w:pPr>
              <w:jc w:val="both"/>
              <w:rPr>
                <w:rFonts w:ascii="Century Gothic" w:hAnsi="Century Gothic"/>
                <w:bCs/>
                <w:sz w:val="18"/>
                <w:szCs w:val="18"/>
                <w:highlight w:val="yellow"/>
                <w:lang w:val="en-GB"/>
              </w:rPr>
            </w:pPr>
          </w:p>
        </w:tc>
        <w:tc>
          <w:tcPr>
            <w:tcW w:w="950" w:type="pct"/>
            <w:shd w:val="clear" w:color="auto" w:fill="F2F2F2" w:themeFill="background1" w:themeFillShade="F2"/>
          </w:tcPr>
          <w:p w14:paraId="2924C850" w14:textId="69F9FD7D" w:rsidR="00585ACE" w:rsidRDefault="00585ACE" w:rsidP="00585ACE">
            <w:pPr>
              <w:jc w:val="both"/>
              <w:rPr>
                <w:rFonts w:ascii="Century Gothic" w:hAnsi="Century Gothic"/>
                <w:bCs/>
                <w:sz w:val="18"/>
                <w:szCs w:val="18"/>
                <w:lang w:val="en-GB"/>
              </w:rPr>
            </w:pPr>
            <w:r>
              <w:rPr>
                <w:rFonts w:ascii="Century Gothic" w:hAnsi="Century Gothic"/>
                <w:bCs/>
                <w:sz w:val="18"/>
                <w:szCs w:val="18"/>
                <w:lang w:val="en-GB"/>
              </w:rPr>
              <w:lastRenderedPageBreak/>
              <w:t xml:space="preserve">Due diligence </w:t>
            </w:r>
            <w:r w:rsidRPr="00F53CA0">
              <w:rPr>
                <w:rFonts w:ascii="Century Gothic" w:hAnsi="Century Gothic"/>
                <w:bCs/>
                <w:sz w:val="18"/>
                <w:szCs w:val="18"/>
                <w:lang w:val="en-GB"/>
              </w:rPr>
              <w:t xml:space="preserve">screening is </w:t>
            </w:r>
            <w:r w:rsidRPr="00FA6357">
              <w:rPr>
                <w:rFonts w:ascii="Century Gothic" w:hAnsi="Century Gothic"/>
                <w:b/>
                <w:bCs/>
                <w:sz w:val="18"/>
                <w:szCs w:val="18"/>
                <w:lang w:val="en-GB"/>
              </w:rPr>
              <w:t>first conducted by the authorised mandatories</w:t>
            </w:r>
            <w:r>
              <w:rPr>
                <w:rFonts w:ascii="Century Gothic" w:hAnsi="Century Gothic"/>
                <w:bCs/>
                <w:sz w:val="18"/>
                <w:szCs w:val="18"/>
                <w:lang w:val="en-GB"/>
              </w:rPr>
              <w:t xml:space="preserve"> in the context of preparing and submitting the application form. </w:t>
            </w:r>
          </w:p>
          <w:p w14:paraId="75E4EC13" w14:textId="6A417A21" w:rsidR="00585ACE" w:rsidRDefault="00585ACE" w:rsidP="00585ACE">
            <w:pPr>
              <w:jc w:val="both"/>
              <w:rPr>
                <w:rFonts w:ascii="Century Gothic" w:hAnsi="Century Gothic"/>
                <w:bCs/>
                <w:sz w:val="18"/>
                <w:szCs w:val="18"/>
                <w:lang w:val="en-GB"/>
              </w:rPr>
            </w:pPr>
          </w:p>
          <w:p w14:paraId="618A854E" w14:textId="65851C38" w:rsidR="00585ACE" w:rsidRDefault="00585ACE" w:rsidP="00585ACE">
            <w:pPr>
              <w:jc w:val="both"/>
              <w:rPr>
                <w:rFonts w:ascii="Century Gothic" w:hAnsi="Century Gothic"/>
                <w:bCs/>
                <w:sz w:val="18"/>
                <w:szCs w:val="18"/>
                <w:lang w:val="en-GB"/>
              </w:rPr>
            </w:pPr>
            <w:r w:rsidRPr="00585ACE">
              <w:rPr>
                <w:rFonts w:ascii="Century Gothic" w:hAnsi="Century Gothic"/>
                <w:bCs/>
                <w:sz w:val="18"/>
                <w:szCs w:val="18"/>
                <w:lang w:val="en-GB"/>
              </w:rPr>
              <w:t xml:space="preserve">Once the </w:t>
            </w:r>
            <w:r w:rsidRPr="00FA6357">
              <w:rPr>
                <w:rFonts w:ascii="Century Gothic" w:hAnsi="Century Gothic"/>
                <w:b/>
                <w:bCs/>
                <w:sz w:val="18"/>
                <w:szCs w:val="18"/>
                <w:lang w:val="en-GB"/>
              </w:rPr>
              <w:t>Commissioner for Revenue</w:t>
            </w:r>
            <w:r w:rsidRPr="00585ACE">
              <w:rPr>
                <w:rFonts w:ascii="Century Gothic" w:hAnsi="Century Gothic"/>
                <w:bCs/>
                <w:sz w:val="18"/>
                <w:szCs w:val="18"/>
                <w:lang w:val="en-GB"/>
              </w:rPr>
              <w:t xml:space="preserve"> receives the application form and </w:t>
            </w:r>
            <w:r w:rsidRPr="00585ACE">
              <w:rPr>
                <w:rFonts w:ascii="Century Gothic" w:hAnsi="Century Gothic"/>
                <w:bCs/>
                <w:sz w:val="18"/>
                <w:szCs w:val="18"/>
                <w:lang w:val="en-GB"/>
              </w:rPr>
              <w:lastRenderedPageBreak/>
              <w:t>accompanying documentation</w:t>
            </w:r>
            <w:r w:rsidR="00AA565E">
              <w:rPr>
                <w:rFonts w:ascii="Century Gothic" w:hAnsi="Century Gothic"/>
                <w:bCs/>
                <w:sz w:val="18"/>
                <w:szCs w:val="18"/>
                <w:lang w:val="en-GB"/>
              </w:rPr>
              <w:t xml:space="preserve">, </w:t>
            </w:r>
            <w:r w:rsidR="00EE1F63">
              <w:rPr>
                <w:rFonts w:ascii="Century Gothic" w:hAnsi="Century Gothic"/>
                <w:bCs/>
                <w:sz w:val="18"/>
                <w:szCs w:val="18"/>
                <w:lang w:val="en-GB"/>
              </w:rPr>
              <w:t>the</w:t>
            </w:r>
            <w:r w:rsidR="00AA565E">
              <w:rPr>
                <w:rFonts w:ascii="Century Gothic" w:hAnsi="Century Gothic"/>
                <w:bCs/>
                <w:sz w:val="18"/>
                <w:szCs w:val="18"/>
                <w:lang w:val="en-GB"/>
              </w:rPr>
              <w:t xml:space="preserve"> completed questionnaire in connection with the GRP</w:t>
            </w:r>
            <w:r w:rsidR="00AA565E">
              <w:rPr>
                <w:rStyle w:val="FootnoteReference"/>
                <w:rFonts w:ascii="Century Gothic" w:hAnsi="Century Gothic"/>
                <w:bCs/>
                <w:sz w:val="18"/>
                <w:szCs w:val="18"/>
                <w:lang w:val="en-GB"/>
              </w:rPr>
              <w:footnoteReference w:id="144"/>
            </w:r>
            <w:r w:rsidRPr="00585ACE">
              <w:rPr>
                <w:rFonts w:ascii="Century Gothic" w:hAnsi="Century Gothic"/>
                <w:bCs/>
                <w:sz w:val="18"/>
                <w:szCs w:val="18"/>
                <w:lang w:val="en-GB"/>
              </w:rPr>
              <w:t xml:space="preserve"> and the non-refundable </w:t>
            </w:r>
            <w:r w:rsidRPr="00B526D2">
              <w:rPr>
                <w:rFonts w:ascii="Century Gothic" w:hAnsi="Century Gothic"/>
                <w:bCs/>
                <w:sz w:val="18"/>
                <w:szCs w:val="18"/>
                <w:lang w:val="en-GB"/>
              </w:rPr>
              <w:t xml:space="preserve">administrative fee, it is </w:t>
            </w:r>
            <w:r w:rsidRPr="00FA6357">
              <w:rPr>
                <w:rFonts w:ascii="Century Gothic" w:hAnsi="Century Gothic"/>
                <w:b/>
                <w:bCs/>
                <w:sz w:val="18"/>
                <w:szCs w:val="18"/>
                <w:lang w:val="en-GB"/>
              </w:rPr>
              <w:t>checked for completeness</w:t>
            </w:r>
            <w:r w:rsidRPr="00B526D2">
              <w:rPr>
                <w:rFonts w:ascii="Century Gothic" w:hAnsi="Century Gothic"/>
                <w:bCs/>
                <w:sz w:val="18"/>
                <w:szCs w:val="18"/>
                <w:lang w:val="en-GB"/>
              </w:rPr>
              <w:t xml:space="preserve"> and an acknowledgment of receipt is sent to the authorised mandatory. If information or document</w:t>
            </w:r>
            <w:r w:rsidR="00EE1F63">
              <w:rPr>
                <w:rFonts w:ascii="Century Gothic" w:hAnsi="Century Gothic"/>
                <w:bCs/>
                <w:sz w:val="18"/>
                <w:szCs w:val="18"/>
                <w:lang w:val="en-GB"/>
              </w:rPr>
              <w:t>s</w:t>
            </w:r>
            <w:r w:rsidRPr="00B526D2">
              <w:rPr>
                <w:rFonts w:ascii="Century Gothic" w:hAnsi="Century Gothic"/>
                <w:bCs/>
                <w:sz w:val="18"/>
                <w:szCs w:val="18"/>
                <w:lang w:val="en-GB"/>
              </w:rPr>
              <w:t xml:space="preserve"> are missing, these omissions must be rectified before proceeding further. </w:t>
            </w:r>
            <w:r>
              <w:rPr>
                <w:rFonts w:ascii="Century Gothic" w:hAnsi="Century Gothic"/>
                <w:bCs/>
                <w:sz w:val="18"/>
                <w:szCs w:val="18"/>
                <w:lang w:val="en-GB"/>
              </w:rPr>
              <w:t xml:space="preserve">Once the application is considered to be complete, the Commissioner for Revenue carries out </w:t>
            </w:r>
            <w:r w:rsidRPr="00B526D2">
              <w:rPr>
                <w:rFonts w:ascii="Century Gothic" w:hAnsi="Century Gothic"/>
                <w:bCs/>
                <w:sz w:val="18"/>
                <w:szCs w:val="18"/>
                <w:lang w:val="en-GB"/>
              </w:rPr>
              <w:t xml:space="preserve">a </w:t>
            </w:r>
            <w:r w:rsidRPr="00FA6357">
              <w:rPr>
                <w:rFonts w:ascii="Century Gothic" w:hAnsi="Century Gothic"/>
                <w:b/>
                <w:bCs/>
                <w:sz w:val="18"/>
                <w:szCs w:val="18"/>
                <w:lang w:val="en-GB"/>
              </w:rPr>
              <w:t>due diligence process</w:t>
            </w:r>
            <w:r w:rsidRPr="00B526D2">
              <w:rPr>
                <w:rFonts w:ascii="Century Gothic" w:hAnsi="Century Gothic"/>
                <w:bCs/>
                <w:sz w:val="18"/>
                <w:szCs w:val="18"/>
                <w:lang w:val="en-GB"/>
              </w:rPr>
              <w:t xml:space="preserve"> and the mandatory </w:t>
            </w:r>
            <w:r w:rsidR="00EE1F63">
              <w:rPr>
                <w:rFonts w:ascii="Century Gothic" w:hAnsi="Century Gothic"/>
                <w:bCs/>
                <w:sz w:val="18"/>
                <w:szCs w:val="18"/>
                <w:lang w:val="en-GB"/>
              </w:rPr>
              <w:t>is</w:t>
            </w:r>
            <w:r w:rsidRPr="00B526D2">
              <w:rPr>
                <w:rFonts w:ascii="Century Gothic" w:hAnsi="Century Gothic"/>
                <w:bCs/>
                <w:sz w:val="18"/>
                <w:szCs w:val="18"/>
                <w:lang w:val="en-GB"/>
              </w:rPr>
              <w:t xml:space="preserve"> notified of the outcome.</w:t>
            </w:r>
            <w:r>
              <w:rPr>
                <w:rFonts w:ascii="Century Gothic" w:hAnsi="Century Gothic"/>
                <w:bCs/>
                <w:sz w:val="18"/>
                <w:szCs w:val="18"/>
                <w:lang w:val="en-GB"/>
              </w:rPr>
              <w:t xml:space="preserve"> </w:t>
            </w:r>
          </w:p>
          <w:p w14:paraId="6CF72D1C" w14:textId="367E9687" w:rsidR="00585ACE" w:rsidRDefault="00585ACE" w:rsidP="00585ACE">
            <w:pPr>
              <w:jc w:val="both"/>
              <w:rPr>
                <w:rFonts w:ascii="Century Gothic" w:hAnsi="Century Gothic"/>
                <w:bCs/>
                <w:sz w:val="18"/>
                <w:szCs w:val="18"/>
                <w:lang w:val="en-GB"/>
              </w:rPr>
            </w:pPr>
          </w:p>
          <w:p w14:paraId="5BD5F657" w14:textId="2FB1C7CC" w:rsidR="00585ACE" w:rsidRPr="00585ACE" w:rsidRDefault="00585ACE" w:rsidP="00D5394E">
            <w:pPr>
              <w:jc w:val="both"/>
              <w:rPr>
                <w:rFonts w:ascii="Century Gothic" w:hAnsi="Century Gothic"/>
                <w:bCs/>
                <w:sz w:val="18"/>
                <w:szCs w:val="18"/>
                <w:lang w:val="en-US"/>
              </w:rPr>
            </w:pPr>
            <w:r w:rsidRPr="00585ACE">
              <w:rPr>
                <w:rFonts w:ascii="Century Gothic" w:hAnsi="Century Gothic"/>
                <w:bCs/>
                <w:sz w:val="18"/>
                <w:szCs w:val="18"/>
                <w:lang w:val="en-US"/>
              </w:rPr>
              <w:t xml:space="preserve">If the outcome is positive, a </w:t>
            </w:r>
            <w:r w:rsidRPr="00FA6357">
              <w:rPr>
                <w:rFonts w:ascii="Century Gothic" w:hAnsi="Century Gothic"/>
                <w:b/>
                <w:bCs/>
                <w:sz w:val="18"/>
                <w:szCs w:val="18"/>
                <w:lang w:val="en-US"/>
              </w:rPr>
              <w:t>face-to-face meeting</w:t>
            </w:r>
            <w:r w:rsidRPr="00585ACE">
              <w:rPr>
                <w:rFonts w:ascii="Century Gothic" w:hAnsi="Century Gothic"/>
                <w:bCs/>
                <w:sz w:val="18"/>
                <w:szCs w:val="18"/>
                <w:lang w:val="en-US"/>
              </w:rPr>
              <w:t xml:space="preserve"> with the applicant and the </w:t>
            </w:r>
            <w:r>
              <w:rPr>
                <w:rFonts w:ascii="Century Gothic" w:hAnsi="Century Gothic"/>
                <w:bCs/>
                <w:sz w:val="18"/>
                <w:szCs w:val="18"/>
                <w:lang w:val="en-US"/>
              </w:rPr>
              <w:t>mandatory</w:t>
            </w:r>
            <w:r w:rsidRPr="00585ACE">
              <w:rPr>
                <w:rFonts w:ascii="Century Gothic" w:hAnsi="Century Gothic"/>
                <w:bCs/>
                <w:sz w:val="18"/>
                <w:szCs w:val="18"/>
                <w:lang w:val="en-US"/>
              </w:rPr>
              <w:t xml:space="preserve"> </w:t>
            </w:r>
            <w:r>
              <w:rPr>
                <w:rFonts w:ascii="Century Gothic" w:hAnsi="Century Gothic"/>
                <w:bCs/>
                <w:sz w:val="18"/>
                <w:szCs w:val="18"/>
                <w:lang w:val="en-US"/>
              </w:rPr>
              <w:t>is</w:t>
            </w:r>
            <w:r w:rsidRPr="00585ACE">
              <w:rPr>
                <w:rFonts w:ascii="Century Gothic" w:hAnsi="Century Gothic"/>
                <w:bCs/>
                <w:sz w:val="18"/>
                <w:szCs w:val="18"/>
                <w:lang w:val="en-US"/>
              </w:rPr>
              <w:t xml:space="preserve"> scheduled, following which, a </w:t>
            </w:r>
            <w:r w:rsidRPr="00FA6357">
              <w:rPr>
                <w:rFonts w:ascii="Century Gothic" w:hAnsi="Century Gothic"/>
                <w:b/>
                <w:bCs/>
                <w:sz w:val="18"/>
                <w:szCs w:val="18"/>
                <w:lang w:val="en-US"/>
              </w:rPr>
              <w:t>letter of intent</w:t>
            </w:r>
            <w:r w:rsidRPr="00585ACE">
              <w:rPr>
                <w:rFonts w:ascii="Century Gothic" w:hAnsi="Century Gothic"/>
                <w:bCs/>
                <w:sz w:val="18"/>
                <w:szCs w:val="18"/>
                <w:lang w:val="en-US"/>
              </w:rPr>
              <w:t xml:space="preserve"> is issued</w:t>
            </w:r>
            <w:r>
              <w:rPr>
                <w:rFonts w:ascii="Century Gothic" w:hAnsi="Century Gothic"/>
                <w:bCs/>
                <w:sz w:val="18"/>
                <w:szCs w:val="18"/>
                <w:lang w:val="en-US"/>
              </w:rPr>
              <w:t xml:space="preserve"> along with</w:t>
            </w:r>
            <w:r w:rsidRPr="00585ACE">
              <w:rPr>
                <w:rFonts w:ascii="Century Gothic" w:hAnsi="Century Gothic"/>
                <w:bCs/>
                <w:sz w:val="18"/>
                <w:szCs w:val="18"/>
                <w:lang w:val="en-US"/>
              </w:rPr>
              <w:t xml:space="preserve"> a notice of primary residence to be completed</w:t>
            </w:r>
            <w:r w:rsidR="00421BD7">
              <w:rPr>
                <w:rFonts w:ascii="Century Gothic" w:hAnsi="Century Gothic"/>
                <w:bCs/>
                <w:sz w:val="18"/>
                <w:szCs w:val="18"/>
                <w:lang w:val="en-US"/>
              </w:rPr>
              <w:t xml:space="preserve"> and</w:t>
            </w:r>
            <w:r w:rsidRPr="00585ACE">
              <w:rPr>
                <w:rFonts w:ascii="Century Gothic" w:hAnsi="Century Gothic"/>
                <w:bCs/>
                <w:sz w:val="18"/>
                <w:szCs w:val="18"/>
                <w:lang w:val="en-US"/>
              </w:rPr>
              <w:t xml:space="preserve"> signed by the applicant and submitted in original. </w:t>
            </w:r>
          </w:p>
          <w:p w14:paraId="3A584498" w14:textId="44C676EE" w:rsidR="00585ACE" w:rsidRDefault="00585ACE" w:rsidP="00585ACE">
            <w:pPr>
              <w:jc w:val="both"/>
              <w:rPr>
                <w:rFonts w:ascii="Century Gothic" w:hAnsi="Century Gothic"/>
                <w:bCs/>
                <w:sz w:val="18"/>
                <w:szCs w:val="18"/>
                <w:lang w:val="en-US"/>
              </w:rPr>
            </w:pPr>
            <w:r w:rsidRPr="00585ACE">
              <w:rPr>
                <w:rFonts w:ascii="Century Gothic" w:hAnsi="Century Gothic"/>
                <w:bCs/>
                <w:sz w:val="18"/>
                <w:szCs w:val="18"/>
                <w:lang w:val="en-US"/>
              </w:rPr>
              <w:t xml:space="preserve">The letter of intent is valid for </w:t>
            </w:r>
            <w:r>
              <w:rPr>
                <w:rFonts w:ascii="Century Gothic" w:hAnsi="Century Gothic"/>
                <w:bCs/>
                <w:sz w:val="18"/>
                <w:szCs w:val="18"/>
                <w:lang w:val="en-US"/>
              </w:rPr>
              <w:t xml:space="preserve">12 </w:t>
            </w:r>
            <w:r w:rsidRPr="00585ACE">
              <w:rPr>
                <w:rFonts w:ascii="Century Gothic" w:hAnsi="Century Gothic"/>
                <w:bCs/>
                <w:sz w:val="18"/>
                <w:szCs w:val="18"/>
                <w:lang w:val="en-US"/>
              </w:rPr>
              <w:t xml:space="preserve">months from the date of issue, within which time the </w:t>
            </w:r>
            <w:r w:rsidRPr="00585ACE">
              <w:rPr>
                <w:rFonts w:ascii="Century Gothic" w:hAnsi="Century Gothic"/>
                <w:bCs/>
                <w:sz w:val="18"/>
                <w:szCs w:val="18"/>
                <w:lang w:val="en-US"/>
              </w:rPr>
              <w:lastRenderedPageBreak/>
              <w:t>certified lease agreement or final deed</w:t>
            </w:r>
            <w:r>
              <w:rPr>
                <w:rFonts w:ascii="Century Gothic" w:hAnsi="Century Gothic"/>
                <w:bCs/>
                <w:sz w:val="18"/>
                <w:szCs w:val="18"/>
                <w:lang w:val="en-US"/>
              </w:rPr>
              <w:t xml:space="preserve"> of purchase</w:t>
            </w:r>
            <w:r w:rsidR="00421BD7">
              <w:rPr>
                <w:rFonts w:ascii="Century Gothic" w:hAnsi="Century Gothic"/>
                <w:bCs/>
                <w:sz w:val="18"/>
                <w:szCs w:val="18"/>
                <w:lang w:val="en-US"/>
              </w:rPr>
              <w:t xml:space="preserve"> (see information provided in point 2 above)</w:t>
            </w:r>
            <w:r w:rsidRPr="00585ACE">
              <w:rPr>
                <w:rFonts w:ascii="Century Gothic" w:hAnsi="Century Gothic"/>
                <w:bCs/>
                <w:sz w:val="18"/>
                <w:szCs w:val="18"/>
                <w:lang w:val="en-US"/>
              </w:rPr>
              <w:t xml:space="preserve">, </w:t>
            </w:r>
            <w:r>
              <w:rPr>
                <w:rFonts w:ascii="Century Gothic" w:hAnsi="Century Gothic"/>
                <w:bCs/>
                <w:sz w:val="18"/>
                <w:szCs w:val="18"/>
                <w:lang w:val="en-US"/>
              </w:rPr>
              <w:t>must</w:t>
            </w:r>
            <w:r w:rsidRPr="00585ACE">
              <w:rPr>
                <w:rFonts w:ascii="Century Gothic" w:hAnsi="Century Gothic"/>
                <w:bCs/>
                <w:sz w:val="18"/>
                <w:szCs w:val="18"/>
                <w:lang w:val="en-US"/>
              </w:rPr>
              <w:t xml:space="preserve"> be submitted in order for the </w:t>
            </w:r>
            <w:r w:rsidRPr="00FA6357">
              <w:rPr>
                <w:rFonts w:ascii="Century Gothic" w:hAnsi="Century Gothic"/>
                <w:b/>
                <w:bCs/>
                <w:sz w:val="18"/>
                <w:szCs w:val="18"/>
                <w:lang w:val="en-US"/>
              </w:rPr>
              <w:t xml:space="preserve">confirmation letter </w:t>
            </w:r>
            <w:r w:rsidRPr="00585ACE">
              <w:rPr>
                <w:rFonts w:ascii="Century Gothic" w:hAnsi="Century Gothic"/>
                <w:bCs/>
                <w:sz w:val="18"/>
                <w:szCs w:val="18"/>
                <w:lang w:val="en-US"/>
              </w:rPr>
              <w:t xml:space="preserve">to be issued. </w:t>
            </w:r>
          </w:p>
          <w:p w14:paraId="0CCD5C62" w14:textId="77777777" w:rsidR="00421BD7" w:rsidRPr="00585ACE" w:rsidRDefault="00421BD7" w:rsidP="00585ACE">
            <w:pPr>
              <w:jc w:val="both"/>
              <w:rPr>
                <w:rFonts w:ascii="Century Gothic" w:hAnsi="Century Gothic"/>
                <w:bCs/>
                <w:sz w:val="18"/>
                <w:szCs w:val="18"/>
                <w:lang w:val="en-US"/>
              </w:rPr>
            </w:pPr>
          </w:p>
          <w:p w14:paraId="19C373FD" w14:textId="27E68F16" w:rsidR="009C1D6B" w:rsidRPr="00E20074" w:rsidRDefault="00585ACE" w:rsidP="0077457F">
            <w:pPr>
              <w:jc w:val="both"/>
              <w:rPr>
                <w:rFonts w:ascii="Century Gothic" w:hAnsi="Century Gothic"/>
                <w:bCs/>
                <w:sz w:val="18"/>
                <w:szCs w:val="18"/>
                <w:lang w:val="en-US"/>
              </w:rPr>
            </w:pPr>
            <w:r w:rsidRPr="00585ACE">
              <w:rPr>
                <w:rFonts w:ascii="Century Gothic" w:hAnsi="Century Gothic"/>
                <w:bCs/>
                <w:sz w:val="18"/>
                <w:szCs w:val="18"/>
                <w:lang w:val="en-US"/>
              </w:rPr>
              <w:t xml:space="preserve">If the due diligence outcome is negative the </w:t>
            </w:r>
            <w:r>
              <w:rPr>
                <w:rFonts w:ascii="Century Gothic" w:hAnsi="Century Gothic"/>
                <w:bCs/>
                <w:sz w:val="18"/>
                <w:szCs w:val="18"/>
                <w:lang w:val="en-US"/>
              </w:rPr>
              <w:t>mandatory</w:t>
            </w:r>
            <w:r w:rsidRPr="00585ACE">
              <w:rPr>
                <w:rFonts w:ascii="Century Gothic" w:hAnsi="Century Gothic"/>
                <w:bCs/>
                <w:sz w:val="18"/>
                <w:szCs w:val="18"/>
                <w:lang w:val="en-US"/>
              </w:rPr>
              <w:t xml:space="preserve"> is notified of the main issues </w:t>
            </w:r>
            <w:r>
              <w:rPr>
                <w:rFonts w:ascii="Century Gothic" w:hAnsi="Century Gothic"/>
                <w:bCs/>
                <w:sz w:val="18"/>
                <w:szCs w:val="18"/>
                <w:lang w:val="en-US"/>
              </w:rPr>
              <w:t>and</w:t>
            </w:r>
            <w:r w:rsidRPr="00585ACE">
              <w:rPr>
                <w:rFonts w:ascii="Century Gothic" w:hAnsi="Century Gothic"/>
                <w:bCs/>
                <w:sz w:val="18"/>
                <w:szCs w:val="18"/>
                <w:lang w:val="en-US"/>
              </w:rPr>
              <w:t xml:space="preserve"> the </w:t>
            </w:r>
            <w:r>
              <w:rPr>
                <w:rFonts w:ascii="Century Gothic" w:hAnsi="Century Gothic"/>
                <w:bCs/>
                <w:sz w:val="18"/>
                <w:szCs w:val="18"/>
                <w:lang w:val="en-US"/>
              </w:rPr>
              <w:t xml:space="preserve">mandatory and </w:t>
            </w:r>
            <w:r w:rsidRPr="00585ACE">
              <w:rPr>
                <w:rFonts w:ascii="Century Gothic" w:hAnsi="Century Gothic"/>
                <w:bCs/>
                <w:sz w:val="18"/>
                <w:szCs w:val="18"/>
                <w:lang w:val="en-US"/>
              </w:rPr>
              <w:t>applicant may provide an explanation. It is in the Commissioner’s discretion whether to refuse or proceed with the application process</w:t>
            </w:r>
            <w:r>
              <w:rPr>
                <w:rFonts w:ascii="Century Gothic" w:hAnsi="Century Gothic"/>
                <w:bCs/>
                <w:sz w:val="18"/>
                <w:szCs w:val="18"/>
                <w:lang w:val="en-US"/>
              </w:rPr>
              <w:t>.</w:t>
            </w:r>
            <w:r>
              <w:rPr>
                <w:rStyle w:val="FootnoteReference"/>
                <w:rFonts w:ascii="Century Gothic" w:hAnsi="Century Gothic"/>
                <w:bCs/>
                <w:sz w:val="18"/>
                <w:szCs w:val="18"/>
                <w:lang w:val="en-US"/>
              </w:rPr>
              <w:footnoteReference w:id="145"/>
            </w:r>
            <w:r w:rsidRPr="00585ACE">
              <w:rPr>
                <w:rFonts w:ascii="Century Gothic" w:hAnsi="Century Gothic"/>
                <w:bCs/>
                <w:sz w:val="18"/>
                <w:szCs w:val="18"/>
                <w:lang w:val="en-US"/>
              </w:rPr>
              <w:t xml:space="preserve"> </w:t>
            </w:r>
          </w:p>
        </w:tc>
        <w:tc>
          <w:tcPr>
            <w:tcW w:w="550" w:type="pct"/>
            <w:shd w:val="clear" w:color="auto" w:fill="F2F2F2" w:themeFill="background1" w:themeFillShade="F2"/>
          </w:tcPr>
          <w:p w14:paraId="7A455FAA" w14:textId="194E8792" w:rsidR="009C1D6B" w:rsidRDefault="006977F0" w:rsidP="00A934DA">
            <w:pPr>
              <w:jc w:val="both"/>
              <w:rPr>
                <w:rFonts w:ascii="Century Gothic" w:hAnsi="Century Gothic"/>
                <w:bCs/>
                <w:sz w:val="18"/>
                <w:szCs w:val="18"/>
                <w:lang w:val="en-GB"/>
              </w:rPr>
            </w:pPr>
            <w:r>
              <w:rPr>
                <w:rFonts w:ascii="Century Gothic" w:hAnsi="Century Gothic"/>
                <w:bCs/>
                <w:sz w:val="18"/>
                <w:szCs w:val="18"/>
                <w:lang w:val="en-GB"/>
              </w:rPr>
              <w:lastRenderedPageBreak/>
              <w:t>The competent authorities and non-public bodies involved are</w:t>
            </w:r>
            <w:r w:rsidR="002808C6">
              <w:rPr>
                <w:rFonts w:ascii="Century Gothic" w:hAnsi="Century Gothic"/>
                <w:bCs/>
                <w:sz w:val="18"/>
                <w:szCs w:val="18"/>
                <w:lang w:val="en-GB"/>
              </w:rPr>
              <w:t xml:space="preserve"> the Commissioner for Revenue and the </w:t>
            </w:r>
            <w:r w:rsidR="002808C6">
              <w:rPr>
                <w:rFonts w:ascii="Century Gothic" w:hAnsi="Century Gothic"/>
                <w:bCs/>
                <w:sz w:val="18"/>
                <w:szCs w:val="18"/>
                <w:lang w:val="en-GB"/>
              </w:rPr>
              <w:lastRenderedPageBreak/>
              <w:t>authorised registered mandatories as</w:t>
            </w:r>
            <w:r>
              <w:rPr>
                <w:rFonts w:ascii="Century Gothic" w:hAnsi="Century Gothic"/>
                <w:bCs/>
                <w:sz w:val="18"/>
                <w:szCs w:val="18"/>
                <w:lang w:val="en-GB"/>
              </w:rPr>
              <w:t xml:space="preserve"> described in points 1.1, 1.2 and 1.3 of Section II above. </w:t>
            </w:r>
          </w:p>
        </w:tc>
        <w:tc>
          <w:tcPr>
            <w:tcW w:w="511" w:type="pct"/>
            <w:shd w:val="clear" w:color="auto" w:fill="F2F2F2" w:themeFill="background1" w:themeFillShade="F2"/>
          </w:tcPr>
          <w:p w14:paraId="349C7834" w14:textId="6CA84988" w:rsidR="00FA2A6A" w:rsidRDefault="006977F0" w:rsidP="003C6B24">
            <w:pPr>
              <w:jc w:val="both"/>
              <w:rPr>
                <w:rFonts w:ascii="Century Gothic" w:hAnsi="Century Gothic"/>
                <w:bCs/>
                <w:sz w:val="18"/>
                <w:szCs w:val="18"/>
                <w:lang w:val="en-GB"/>
              </w:rPr>
            </w:pPr>
            <w:r>
              <w:rPr>
                <w:rFonts w:ascii="Century Gothic" w:hAnsi="Century Gothic"/>
                <w:bCs/>
                <w:sz w:val="18"/>
                <w:szCs w:val="18"/>
                <w:lang w:val="en-GB"/>
              </w:rPr>
              <w:lastRenderedPageBreak/>
              <w:t xml:space="preserve">Rule 8 of LN 167/2013 provides for situations of abuse of rights. </w:t>
            </w:r>
            <w:r w:rsidR="00EE1F63">
              <w:rPr>
                <w:rFonts w:ascii="Century Gothic" w:hAnsi="Century Gothic"/>
                <w:bCs/>
                <w:sz w:val="18"/>
                <w:szCs w:val="18"/>
                <w:lang w:val="en-GB"/>
              </w:rPr>
              <w:t>If</w:t>
            </w:r>
            <w:r>
              <w:rPr>
                <w:rFonts w:ascii="Century Gothic" w:hAnsi="Century Gothic"/>
                <w:bCs/>
                <w:sz w:val="18"/>
                <w:szCs w:val="18"/>
                <w:lang w:val="en-GB"/>
              </w:rPr>
              <w:t xml:space="preserve"> </w:t>
            </w:r>
            <w:proofErr w:type="gramStart"/>
            <w:r>
              <w:rPr>
                <w:rFonts w:ascii="Century Gothic" w:hAnsi="Century Gothic"/>
                <w:bCs/>
                <w:sz w:val="18"/>
                <w:szCs w:val="18"/>
                <w:lang w:val="en-GB"/>
              </w:rPr>
              <w:t>an individual benefits</w:t>
            </w:r>
            <w:proofErr w:type="gramEnd"/>
            <w:r>
              <w:rPr>
                <w:rFonts w:ascii="Century Gothic" w:hAnsi="Century Gothic"/>
                <w:bCs/>
                <w:sz w:val="18"/>
                <w:szCs w:val="18"/>
                <w:lang w:val="en-GB"/>
              </w:rPr>
              <w:t xml:space="preserve"> under the GRP </w:t>
            </w:r>
            <w:r w:rsidR="00FA2A6A">
              <w:rPr>
                <w:rFonts w:ascii="Century Gothic" w:hAnsi="Century Gothic"/>
                <w:bCs/>
                <w:sz w:val="18"/>
                <w:szCs w:val="18"/>
                <w:lang w:val="en-GB"/>
              </w:rPr>
              <w:t xml:space="preserve">rules </w:t>
            </w:r>
            <w:r w:rsidR="00FA2A6A">
              <w:rPr>
                <w:rFonts w:ascii="Century Gothic" w:hAnsi="Century Gothic"/>
                <w:bCs/>
                <w:sz w:val="18"/>
                <w:szCs w:val="18"/>
                <w:lang w:val="en-GB"/>
              </w:rPr>
              <w:lastRenderedPageBreak/>
              <w:t>when</w:t>
            </w:r>
            <w:r>
              <w:rPr>
                <w:rFonts w:ascii="Century Gothic" w:hAnsi="Century Gothic"/>
                <w:bCs/>
                <w:sz w:val="18"/>
                <w:szCs w:val="18"/>
                <w:lang w:val="en-GB"/>
              </w:rPr>
              <w:t xml:space="preserve"> s/he was not so entitled the Commissioner for Revenue may issue an assessment in terms of Article 31 of the Income Tax Management Act dealing with </w:t>
            </w:r>
            <w:r w:rsidR="00FA2A6A">
              <w:rPr>
                <w:rFonts w:ascii="Century Gothic" w:hAnsi="Century Gothic"/>
                <w:bCs/>
                <w:sz w:val="18"/>
                <w:szCs w:val="18"/>
                <w:lang w:val="en-GB"/>
              </w:rPr>
              <w:t>the assessment of chargeable income, the tax chargeable thereon and the tax payable by or repayable to the person in question for the relevant assessment year.</w:t>
            </w:r>
          </w:p>
          <w:p w14:paraId="1B8D15F9" w14:textId="77777777" w:rsidR="00FA2A6A" w:rsidRDefault="00FA2A6A" w:rsidP="003C6B24">
            <w:pPr>
              <w:jc w:val="both"/>
              <w:rPr>
                <w:rFonts w:ascii="Century Gothic" w:hAnsi="Century Gothic"/>
                <w:bCs/>
                <w:sz w:val="18"/>
                <w:szCs w:val="18"/>
                <w:lang w:val="en-GB"/>
              </w:rPr>
            </w:pPr>
          </w:p>
          <w:p w14:paraId="4A7C3312" w14:textId="77777777" w:rsidR="009C1D6B" w:rsidRDefault="00FA2A6A" w:rsidP="003C6B24">
            <w:pPr>
              <w:jc w:val="both"/>
              <w:rPr>
                <w:rFonts w:ascii="Century Gothic" w:hAnsi="Century Gothic"/>
                <w:bCs/>
                <w:sz w:val="18"/>
                <w:szCs w:val="18"/>
                <w:lang w:val="en-GB"/>
              </w:rPr>
            </w:pPr>
            <w:r>
              <w:rPr>
                <w:rFonts w:ascii="Century Gothic" w:hAnsi="Century Gothic"/>
                <w:bCs/>
                <w:sz w:val="18"/>
                <w:szCs w:val="18"/>
                <w:lang w:val="en-GB"/>
              </w:rPr>
              <w:t xml:space="preserve">In addition to the income tax return required by Article 10 of the Income </w:t>
            </w:r>
            <w:r>
              <w:rPr>
                <w:rFonts w:ascii="Century Gothic" w:hAnsi="Century Gothic"/>
                <w:bCs/>
                <w:sz w:val="18"/>
                <w:szCs w:val="18"/>
                <w:lang w:val="en-GB"/>
              </w:rPr>
              <w:lastRenderedPageBreak/>
              <w:t>Tax Management Act, GRP beneficiaries must also include such form as the Commissioner may require (Rule 9 of LN 167/2013).</w:t>
            </w:r>
            <w:r w:rsidR="006977F0">
              <w:rPr>
                <w:rFonts w:ascii="Century Gothic" w:hAnsi="Century Gothic"/>
                <w:bCs/>
                <w:sz w:val="18"/>
                <w:szCs w:val="18"/>
                <w:lang w:val="en-GB"/>
              </w:rPr>
              <w:t xml:space="preserve"> </w:t>
            </w:r>
          </w:p>
          <w:p w14:paraId="77E54B38" w14:textId="77777777" w:rsidR="00AA4E8C" w:rsidRDefault="00AA4E8C" w:rsidP="003C6B24">
            <w:pPr>
              <w:jc w:val="both"/>
              <w:rPr>
                <w:rFonts w:ascii="Century Gothic" w:hAnsi="Century Gothic"/>
                <w:bCs/>
                <w:sz w:val="18"/>
                <w:szCs w:val="18"/>
                <w:lang w:val="en-GB"/>
              </w:rPr>
            </w:pPr>
          </w:p>
          <w:p w14:paraId="5273E3C9" w14:textId="243AA84B" w:rsidR="00AA4E8C" w:rsidRDefault="00AA4E8C" w:rsidP="003C6B24">
            <w:pPr>
              <w:jc w:val="both"/>
              <w:rPr>
                <w:rFonts w:ascii="Century Gothic" w:hAnsi="Century Gothic"/>
                <w:bCs/>
                <w:sz w:val="18"/>
                <w:szCs w:val="18"/>
                <w:lang w:val="en-GB"/>
              </w:rPr>
            </w:pPr>
            <w:r>
              <w:rPr>
                <w:rFonts w:ascii="Century Gothic" w:hAnsi="Century Gothic"/>
                <w:bCs/>
                <w:sz w:val="18"/>
                <w:szCs w:val="18"/>
                <w:lang w:val="en-GB"/>
              </w:rPr>
              <w:t>To date no cases of misuse have been reported.</w:t>
            </w:r>
          </w:p>
        </w:tc>
      </w:tr>
      <w:bookmarkEnd w:id="27"/>
    </w:tbl>
    <w:p w14:paraId="20D86A54" w14:textId="77777777" w:rsidR="0069748F" w:rsidRPr="00523824" w:rsidRDefault="0069748F" w:rsidP="00B311A7">
      <w:pPr>
        <w:rPr>
          <w:rFonts w:ascii="Century Gothic" w:hAnsi="Century Gothic"/>
          <w:lang w:val="en-GB"/>
        </w:rPr>
        <w:sectPr w:rsidR="0069748F" w:rsidRPr="00523824" w:rsidSect="00E66D1C">
          <w:footerReference w:type="default" r:id="rId19"/>
          <w:pgSz w:w="16838" w:h="11906" w:orient="landscape"/>
          <w:pgMar w:top="1440" w:right="1440" w:bottom="1440" w:left="1440" w:header="708" w:footer="708" w:gutter="0"/>
          <w:cols w:space="708"/>
          <w:docGrid w:linePitch="360"/>
        </w:sectPr>
      </w:pPr>
    </w:p>
    <w:p w14:paraId="64E12702" w14:textId="77777777" w:rsidR="00B311A7" w:rsidRDefault="00B311A7" w:rsidP="0069748F">
      <w:pPr>
        <w:pStyle w:val="MH1nonumb"/>
        <w:numPr>
          <w:ilvl w:val="0"/>
          <w:numId w:val="10"/>
        </w:numPr>
        <w:spacing w:after="0"/>
        <w:ind w:left="426" w:hanging="284"/>
      </w:pPr>
      <w:bookmarkStart w:id="28" w:name="_Toc496025539"/>
      <w:bookmarkStart w:id="29" w:name="_Toc517765944"/>
      <w:r w:rsidRPr="00523824">
        <w:lastRenderedPageBreak/>
        <w:t>RIGHTS GRANTED BY THE PERMITS</w:t>
      </w:r>
      <w:bookmarkEnd w:id="28"/>
      <w:bookmarkEnd w:id="29"/>
    </w:p>
    <w:p w14:paraId="6D3F0FD9" w14:textId="77777777" w:rsidR="0069748F" w:rsidRPr="0069748F" w:rsidRDefault="0069748F" w:rsidP="0069748F">
      <w:pPr>
        <w:pStyle w:val="MBT"/>
      </w:pPr>
    </w:p>
    <w:p w14:paraId="7534B4E4" w14:textId="0241B2E5" w:rsidR="008E29F0" w:rsidRPr="0077457F" w:rsidRDefault="00B311A7" w:rsidP="0069748F">
      <w:pPr>
        <w:pStyle w:val="MH1"/>
        <w:pageBreakBefore w:val="0"/>
        <w:numPr>
          <w:ilvl w:val="0"/>
          <w:numId w:val="11"/>
        </w:numPr>
        <w:spacing w:after="0"/>
        <w:ind w:left="431" w:hanging="431"/>
      </w:pPr>
      <w:bookmarkStart w:id="30" w:name="_Toc517765945"/>
      <w:r w:rsidRPr="00523824">
        <w:t>Rights granted to investors</w:t>
      </w:r>
      <w:bookmarkEnd w:id="30"/>
    </w:p>
    <w:p w14:paraId="1CBFCCA5" w14:textId="77777777" w:rsidR="00AA4E8C" w:rsidRDefault="00AA4E8C" w:rsidP="0069748F">
      <w:pPr>
        <w:pStyle w:val="MBT"/>
        <w:rPr>
          <w:lang w:val="en-GB"/>
        </w:rPr>
      </w:pPr>
    </w:p>
    <w:p w14:paraId="7CB6613F" w14:textId="199FE899" w:rsidR="00AA4E8C" w:rsidRPr="00D5394E" w:rsidRDefault="00AA4E8C" w:rsidP="00D5394E">
      <w:pPr>
        <w:pStyle w:val="MBT"/>
        <w:numPr>
          <w:ilvl w:val="0"/>
          <w:numId w:val="38"/>
        </w:numPr>
        <w:rPr>
          <w:b/>
          <w:lang w:val="en-GB"/>
        </w:rPr>
      </w:pPr>
      <w:r w:rsidRPr="00D5394E">
        <w:rPr>
          <w:b/>
          <w:lang w:val="en-GB"/>
        </w:rPr>
        <w:t>MRVP</w:t>
      </w:r>
    </w:p>
    <w:p w14:paraId="5D810FFB" w14:textId="77777777" w:rsidR="00AA4E8C" w:rsidRDefault="00AA4E8C" w:rsidP="0069748F">
      <w:pPr>
        <w:pStyle w:val="MBT"/>
        <w:rPr>
          <w:lang w:val="en-GB"/>
        </w:rPr>
      </w:pPr>
    </w:p>
    <w:p w14:paraId="69140970" w14:textId="4B10C5CC" w:rsidR="00AB1618" w:rsidRDefault="00A934DA" w:rsidP="0069748F">
      <w:pPr>
        <w:pStyle w:val="MBT"/>
        <w:rPr>
          <w:lang w:val="en-GB"/>
        </w:rPr>
      </w:pPr>
      <w:r>
        <w:rPr>
          <w:lang w:val="en-GB"/>
        </w:rPr>
        <w:t xml:space="preserve">As stated in point 3 of Section II above, </w:t>
      </w:r>
      <w:r w:rsidR="00CB200B">
        <w:rPr>
          <w:lang w:val="en-GB"/>
        </w:rPr>
        <w:t xml:space="preserve">residence </w:t>
      </w:r>
      <w:r>
        <w:rPr>
          <w:lang w:val="en-GB"/>
        </w:rPr>
        <w:t>certificates issued by the MRVA under LN 288/2015 are deemed to constitute a residence permit issued in terms of Article 7 of the Immigration Act</w:t>
      </w:r>
      <w:r w:rsidR="00FA3B38">
        <w:rPr>
          <w:lang w:val="en-GB"/>
        </w:rPr>
        <w:t>.</w:t>
      </w:r>
      <w:r>
        <w:rPr>
          <w:rStyle w:val="FootnoteReference"/>
          <w:lang w:val="en-GB"/>
        </w:rPr>
        <w:footnoteReference w:id="146"/>
      </w:r>
      <w:r>
        <w:rPr>
          <w:lang w:val="en-GB"/>
        </w:rPr>
        <w:t xml:space="preserve"> It </w:t>
      </w:r>
      <w:r w:rsidR="00AB1618">
        <w:rPr>
          <w:lang w:val="en-GB"/>
        </w:rPr>
        <w:t xml:space="preserve">entitles the beneficiary and his or her registered dependants </w:t>
      </w:r>
      <w:r w:rsidR="00AB1618" w:rsidRPr="00547E3F">
        <w:rPr>
          <w:b/>
          <w:lang w:val="en-GB"/>
        </w:rPr>
        <w:t>to reside, settle or stay indefinitely in Malta</w:t>
      </w:r>
      <w:r w:rsidR="00AB1618">
        <w:rPr>
          <w:lang w:val="en-GB"/>
        </w:rPr>
        <w:t>, provided that:</w:t>
      </w:r>
    </w:p>
    <w:p w14:paraId="2317A2AB" w14:textId="77777777" w:rsidR="00A934DA" w:rsidRDefault="00A934DA" w:rsidP="0069748F">
      <w:pPr>
        <w:pStyle w:val="MBT"/>
        <w:rPr>
          <w:lang w:val="en-GB"/>
        </w:rPr>
      </w:pPr>
    </w:p>
    <w:p w14:paraId="40BAFBD5" w14:textId="297440CD" w:rsidR="00AB1618" w:rsidRDefault="00AB1618" w:rsidP="0069748F">
      <w:pPr>
        <w:pStyle w:val="MBT"/>
        <w:numPr>
          <w:ilvl w:val="0"/>
          <w:numId w:val="19"/>
        </w:numPr>
        <w:rPr>
          <w:lang w:val="en-GB"/>
        </w:rPr>
      </w:pPr>
      <w:r>
        <w:rPr>
          <w:lang w:val="en-GB"/>
        </w:rPr>
        <w:t xml:space="preserve">The certificate must be monitored annually for the first five years from its issue, and every five years thereafter. It is considered </w:t>
      </w:r>
      <w:r w:rsidRPr="00A934DA">
        <w:rPr>
          <w:i/>
          <w:lang w:val="en-GB"/>
        </w:rPr>
        <w:t>ipso jure</w:t>
      </w:r>
      <w:r>
        <w:rPr>
          <w:lang w:val="en-GB"/>
        </w:rPr>
        <w:t xml:space="preserve"> withdrawn as soon as the beneficiary infringes an</w:t>
      </w:r>
      <w:r w:rsidR="00FA3B38">
        <w:rPr>
          <w:lang w:val="en-GB"/>
        </w:rPr>
        <w:t>y</w:t>
      </w:r>
      <w:r>
        <w:rPr>
          <w:lang w:val="en-GB"/>
        </w:rPr>
        <w:t xml:space="preserve"> provisions of LN 288/2015</w:t>
      </w:r>
      <w:r w:rsidR="00F63382">
        <w:rPr>
          <w:lang w:val="en-GB"/>
        </w:rPr>
        <w:t>.</w:t>
      </w:r>
    </w:p>
    <w:p w14:paraId="605BF4AA" w14:textId="02389173" w:rsidR="00AB1618" w:rsidRDefault="00AB1618" w:rsidP="0069748F">
      <w:pPr>
        <w:pStyle w:val="MBT"/>
        <w:numPr>
          <w:ilvl w:val="0"/>
          <w:numId w:val="19"/>
        </w:numPr>
        <w:rPr>
          <w:lang w:val="en-GB"/>
        </w:rPr>
      </w:pPr>
      <w:r>
        <w:rPr>
          <w:lang w:val="en-GB"/>
        </w:rPr>
        <w:t xml:space="preserve">The </w:t>
      </w:r>
      <w:r w:rsidRPr="00963F6B">
        <w:rPr>
          <w:b/>
          <w:lang w:val="en-GB"/>
        </w:rPr>
        <w:t>certificate does not by itself entitle the holder to any other rights mentioned in the Immigration Regulations</w:t>
      </w:r>
      <w:r w:rsidR="00FA3B38">
        <w:rPr>
          <w:lang w:val="en-GB"/>
        </w:rPr>
        <w:t>.</w:t>
      </w:r>
      <w:r>
        <w:rPr>
          <w:rStyle w:val="FootnoteReference"/>
          <w:lang w:val="en-GB"/>
        </w:rPr>
        <w:footnoteReference w:id="147"/>
      </w:r>
    </w:p>
    <w:p w14:paraId="15BA7178" w14:textId="77777777" w:rsidR="00A934DA" w:rsidRPr="00523824" w:rsidRDefault="00A934DA" w:rsidP="0069748F">
      <w:pPr>
        <w:pStyle w:val="MBT"/>
        <w:rPr>
          <w:lang w:val="en-GB"/>
        </w:rPr>
      </w:pPr>
    </w:p>
    <w:p w14:paraId="1F04F3F3" w14:textId="6D18B457" w:rsidR="00E9410D" w:rsidRDefault="00135FE7" w:rsidP="0069748F">
      <w:pPr>
        <w:pStyle w:val="MBT"/>
        <w:rPr>
          <w:lang w:val="en-GB"/>
        </w:rPr>
      </w:pPr>
      <w:r>
        <w:rPr>
          <w:lang w:val="en-GB"/>
        </w:rPr>
        <w:t xml:space="preserve">The certificate also allows the beneficiary and his/her </w:t>
      </w:r>
      <w:r w:rsidR="00765E9C">
        <w:rPr>
          <w:lang w:val="en-GB"/>
        </w:rPr>
        <w:t xml:space="preserve">spouse </w:t>
      </w:r>
      <w:r>
        <w:rPr>
          <w:lang w:val="en-GB"/>
        </w:rPr>
        <w:t xml:space="preserve">to </w:t>
      </w:r>
      <w:r w:rsidRPr="00CB200B">
        <w:rPr>
          <w:b/>
          <w:lang w:val="en-GB"/>
        </w:rPr>
        <w:t>apply for a</w:t>
      </w:r>
      <w:r w:rsidR="002E77CA">
        <w:rPr>
          <w:b/>
          <w:lang w:val="en-GB"/>
        </w:rPr>
        <w:t xml:space="preserve">n </w:t>
      </w:r>
      <w:r w:rsidR="00765E9C">
        <w:rPr>
          <w:b/>
          <w:lang w:val="en-GB"/>
        </w:rPr>
        <w:t>employment licence</w:t>
      </w:r>
      <w:r w:rsidR="002E77CA">
        <w:rPr>
          <w:b/>
          <w:lang w:val="en-GB"/>
        </w:rPr>
        <w:t xml:space="preserve"> </w:t>
      </w:r>
      <w:r w:rsidR="002E77CA" w:rsidRPr="00A60AEB">
        <w:rPr>
          <w:lang w:val="en-GB"/>
        </w:rPr>
        <w:t>(work permit</w:t>
      </w:r>
      <w:r w:rsidR="00765E9C" w:rsidRPr="00A60AEB">
        <w:rPr>
          <w:lang w:val="en-GB"/>
        </w:rPr>
        <w:t>)</w:t>
      </w:r>
      <w:r>
        <w:rPr>
          <w:lang w:val="en-GB"/>
        </w:rPr>
        <w:t xml:space="preserve"> in Malta</w:t>
      </w:r>
      <w:r w:rsidR="00F63382">
        <w:rPr>
          <w:lang w:val="en-GB"/>
        </w:rPr>
        <w:t xml:space="preserve"> and</w:t>
      </w:r>
      <w:r w:rsidR="00765E9C">
        <w:rPr>
          <w:lang w:val="en-GB"/>
        </w:rPr>
        <w:t xml:space="preserve"> his or her dependants to gain free</w:t>
      </w:r>
      <w:r>
        <w:rPr>
          <w:lang w:val="en-GB"/>
        </w:rPr>
        <w:t xml:space="preserve"> </w:t>
      </w:r>
      <w:r w:rsidRPr="00CB200B">
        <w:rPr>
          <w:b/>
          <w:lang w:val="en-GB"/>
        </w:rPr>
        <w:t>access</w:t>
      </w:r>
      <w:r w:rsidR="00765E9C">
        <w:rPr>
          <w:b/>
          <w:lang w:val="en-GB"/>
        </w:rPr>
        <w:t xml:space="preserve"> to</w:t>
      </w:r>
      <w:r w:rsidRPr="00CB200B">
        <w:rPr>
          <w:b/>
          <w:lang w:val="en-GB"/>
        </w:rPr>
        <w:t xml:space="preserve"> educational institutions</w:t>
      </w:r>
      <w:r>
        <w:rPr>
          <w:lang w:val="en-GB"/>
        </w:rPr>
        <w:t xml:space="preserve"> in Malta</w:t>
      </w:r>
      <w:r w:rsidR="00765E9C">
        <w:rPr>
          <w:lang w:val="en-GB"/>
        </w:rPr>
        <w:t xml:space="preserve"> but only once the beneficiary obtains the </w:t>
      </w:r>
      <w:r w:rsidR="00AF1F5D">
        <w:rPr>
          <w:lang w:val="en-GB"/>
        </w:rPr>
        <w:t>employment licence</w:t>
      </w:r>
      <w:r w:rsidR="00E95FC9">
        <w:rPr>
          <w:lang w:val="en-GB"/>
        </w:rPr>
        <w:t xml:space="preserve"> via regular channels</w:t>
      </w:r>
      <w:r w:rsidR="00E9410D">
        <w:rPr>
          <w:lang w:val="en-GB"/>
        </w:rPr>
        <w:t>.</w:t>
      </w:r>
      <w:r w:rsidR="00765E9C">
        <w:rPr>
          <w:rStyle w:val="FootnoteReference"/>
          <w:lang w:val="en-GB"/>
        </w:rPr>
        <w:footnoteReference w:id="148"/>
      </w:r>
      <w:r w:rsidR="00765E9C">
        <w:rPr>
          <w:lang w:val="en-GB"/>
        </w:rPr>
        <w:t xml:space="preserve"> </w:t>
      </w:r>
      <w:r w:rsidR="00F6118A">
        <w:rPr>
          <w:lang w:val="en-GB"/>
        </w:rPr>
        <w:t>D</w:t>
      </w:r>
      <w:r w:rsidR="00765E9C" w:rsidRPr="002E77CA">
        <w:rPr>
          <w:lang w:val="en-GB"/>
        </w:rPr>
        <w:t>ependants</w:t>
      </w:r>
      <w:r w:rsidR="00F6118A">
        <w:rPr>
          <w:lang w:val="en-GB"/>
        </w:rPr>
        <w:t xml:space="preserve"> other than the spouse</w:t>
      </w:r>
      <w:r w:rsidR="00765E9C" w:rsidRPr="002E77CA">
        <w:rPr>
          <w:lang w:val="en-GB"/>
        </w:rPr>
        <w:t xml:space="preserve"> are not allowed to take up employment as they would no longer be considered ‘economically inactive’ under the scope of LN 288/2015</w:t>
      </w:r>
      <w:r w:rsidR="00E70484">
        <w:rPr>
          <w:lang w:val="en-GB"/>
        </w:rPr>
        <w:t xml:space="preserve">. </w:t>
      </w:r>
      <w:r w:rsidR="00F6118A">
        <w:rPr>
          <w:lang w:val="en-GB"/>
        </w:rPr>
        <w:t>By taking up employment they would no longer benefit from the MRVP status</w:t>
      </w:r>
      <w:r w:rsidR="00E70484" w:rsidRPr="00E70484">
        <w:rPr>
          <w:lang w:val="en-GB"/>
        </w:rPr>
        <w:t>.</w:t>
      </w:r>
      <w:r w:rsidR="00E70484">
        <w:rPr>
          <w:rStyle w:val="FootnoteReference"/>
          <w:lang w:val="en-GB"/>
        </w:rPr>
        <w:footnoteReference w:id="149"/>
      </w:r>
    </w:p>
    <w:p w14:paraId="164921B4" w14:textId="77777777" w:rsidR="00765E9C" w:rsidRDefault="00765E9C" w:rsidP="0069748F">
      <w:pPr>
        <w:pStyle w:val="MBT"/>
        <w:rPr>
          <w:lang w:val="en-GB"/>
        </w:rPr>
      </w:pPr>
    </w:p>
    <w:p w14:paraId="0E9EAD77" w14:textId="3958F660" w:rsidR="00765E9C" w:rsidRDefault="00022864" w:rsidP="008B244B">
      <w:pPr>
        <w:pStyle w:val="MBT"/>
      </w:pPr>
      <w:r>
        <w:t>An e</w:t>
      </w:r>
      <w:r w:rsidR="00765E9C">
        <w:t xml:space="preserve">mployment </w:t>
      </w:r>
      <w:proofErr w:type="spellStart"/>
      <w:r w:rsidR="00765E9C">
        <w:t>licence</w:t>
      </w:r>
      <w:proofErr w:type="spellEnd"/>
      <w:r w:rsidR="00765E9C">
        <w:t xml:space="preserve"> is issued by </w:t>
      </w:r>
      <w:proofErr w:type="spellStart"/>
      <w:r w:rsidR="002E77CA">
        <w:t>Jobsplus</w:t>
      </w:r>
      <w:proofErr w:type="spellEnd"/>
      <w:r w:rsidR="002E77CA">
        <w:rPr>
          <w:rStyle w:val="FootnoteReference"/>
        </w:rPr>
        <w:footnoteReference w:id="150"/>
      </w:r>
      <w:r w:rsidR="00765E9C">
        <w:t xml:space="preserve"> following an application by the </w:t>
      </w:r>
      <w:r w:rsidR="00AF1F5D">
        <w:t xml:space="preserve">prospective </w:t>
      </w:r>
      <w:r w:rsidR="00765E9C">
        <w:t xml:space="preserve">employer. All non-EU nationals who wish to take up employment in Malta </w:t>
      </w:r>
      <w:r>
        <w:t>must</w:t>
      </w:r>
      <w:r w:rsidR="00765E9C">
        <w:t xml:space="preserve"> obtain this </w:t>
      </w:r>
      <w:proofErr w:type="spellStart"/>
      <w:r w:rsidR="00765E9C">
        <w:t>licence</w:t>
      </w:r>
      <w:proofErr w:type="spellEnd"/>
      <w:r w:rsidR="00765E9C">
        <w:t>.</w:t>
      </w:r>
      <w:r w:rsidR="00AF1F5D">
        <w:t xml:space="preserve"> </w:t>
      </w:r>
      <w:proofErr w:type="spellStart"/>
      <w:r w:rsidR="00AF1F5D">
        <w:t>Licences</w:t>
      </w:r>
      <w:proofErr w:type="spellEnd"/>
      <w:r w:rsidR="00AF1F5D">
        <w:t xml:space="preserve"> are non-transferrable and applicants are not allowed to take up a different job.</w:t>
      </w:r>
      <w:r w:rsidR="00765E9C">
        <w:t xml:space="preserve"> To receive the </w:t>
      </w:r>
      <w:proofErr w:type="spellStart"/>
      <w:r w:rsidR="00765E9C">
        <w:t>licence</w:t>
      </w:r>
      <w:proofErr w:type="spellEnd"/>
      <w:r w:rsidR="00765E9C">
        <w:t xml:space="preserve">, the beneficiary must have an employer who </w:t>
      </w:r>
      <w:r>
        <w:t>can</w:t>
      </w:r>
      <w:r w:rsidR="00765E9C">
        <w:t xml:space="preserve"> prove that</w:t>
      </w:r>
      <w:r>
        <w:t xml:space="preserve"> the vacancy cannot be filled by</w:t>
      </w:r>
      <w:r w:rsidR="00765E9C">
        <w:t xml:space="preserve"> a candidate from the EU, EEA</w:t>
      </w:r>
      <w:r>
        <w:t xml:space="preserve"> or</w:t>
      </w:r>
      <w:r w:rsidR="00765E9C">
        <w:t xml:space="preserve"> Switzerland.</w:t>
      </w:r>
      <w:r w:rsidR="00765E9C">
        <w:rPr>
          <w:rStyle w:val="FootnoteReference"/>
          <w:lang w:val="en-GB"/>
        </w:rPr>
        <w:footnoteReference w:id="151"/>
      </w:r>
      <w:r w:rsidR="00765E9C">
        <w:t xml:space="preserve"> Only an MRVP beneficiary who has successfully obtained an employment </w:t>
      </w:r>
      <w:proofErr w:type="spellStart"/>
      <w:r w:rsidR="00765E9C">
        <w:t>licence</w:t>
      </w:r>
      <w:proofErr w:type="spellEnd"/>
      <w:r w:rsidR="00765E9C">
        <w:t xml:space="preserve"> and is therefore </w:t>
      </w:r>
      <w:r w:rsidR="008B244B">
        <w:t xml:space="preserve">within the scope of </w:t>
      </w:r>
      <w:r w:rsidR="000B1A98">
        <w:t>A</w:t>
      </w:r>
      <w:r w:rsidR="008B244B">
        <w:t>rticle 3(1)(b) of the Single Permit Directive</w:t>
      </w:r>
      <w:r w:rsidR="000B1A98">
        <w:rPr>
          <w:rStyle w:val="FootnoteReference"/>
        </w:rPr>
        <w:footnoteReference w:id="152"/>
      </w:r>
      <w:r w:rsidR="00765E9C">
        <w:t xml:space="preserve"> would be able to benefit from the </w:t>
      </w:r>
      <w:r w:rsidR="008B244B">
        <w:t xml:space="preserve">right to equal treatment stipulated in </w:t>
      </w:r>
      <w:r w:rsidR="000B1A98">
        <w:t>A</w:t>
      </w:r>
      <w:r w:rsidR="008B244B">
        <w:t xml:space="preserve">rticle 12 of the same </w:t>
      </w:r>
      <w:r w:rsidR="000B1A98">
        <w:t>D</w:t>
      </w:r>
      <w:r w:rsidR="008B244B">
        <w:t xml:space="preserve">irective. These rights include: equal treatment regarding working conditions, freedom of association and affiliation and membership of an </w:t>
      </w:r>
      <w:proofErr w:type="spellStart"/>
      <w:r w:rsidR="008B244B">
        <w:t>organisation</w:t>
      </w:r>
      <w:proofErr w:type="spellEnd"/>
      <w:r w:rsidR="008B244B">
        <w:t xml:space="preserve"> representing workers or employers, education and vocational training, recognition of diplomas and other professional certificates in accordance with the relevant national procedure, branches of social security in line with Regulation (EC) No 883/2004, tax benefits (for tax residents), access to public goods, advice services offered by employment offices.</w:t>
      </w:r>
      <w:r w:rsidR="008B244B">
        <w:rPr>
          <w:rStyle w:val="FootnoteReference"/>
        </w:rPr>
        <w:footnoteReference w:id="153"/>
      </w:r>
    </w:p>
    <w:p w14:paraId="24F09938" w14:textId="523342D6" w:rsidR="00296F7D" w:rsidRDefault="00296F7D" w:rsidP="008B244B">
      <w:pPr>
        <w:pStyle w:val="MBT"/>
      </w:pPr>
    </w:p>
    <w:p w14:paraId="1397E117" w14:textId="547C9B30" w:rsidR="00296F7D" w:rsidRDefault="00E95FC9" w:rsidP="008B244B">
      <w:pPr>
        <w:pStyle w:val="MBT"/>
        <w:rPr>
          <w:lang w:val="en-GB"/>
        </w:rPr>
      </w:pPr>
      <w:r>
        <w:t xml:space="preserve">While currently the beneficiary can apply for an employment </w:t>
      </w:r>
      <w:proofErr w:type="spellStart"/>
      <w:r>
        <w:t>licence</w:t>
      </w:r>
      <w:proofErr w:type="spellEnd"/>
      <w:r>
        <w:t xml:space="preserve">, it </w:t>
      </w:r>
      <w:r w:rsidR="00296F7D">
        <w:t xml:space="preserve">is noted that Regulation </w:t>
      </w:r>
      <w:r>
        <w:t>12</w:t>
      </w:r>
      <w:r w:rsidR="00296F7D">
        <w:t xml:space="preserve">(3) of the Immigration Regulations specifies that third country nationals cannot apply for a </w:t>
      </w:r>
      <w:proofErr w:type="spellStart"/>
      <w:r w:rsidR="00296F7D">
        <w:t>licence</w:t>
      </w:r>
      <w:proofErr w:type="spellEnd"/>
      <w:r w:rsidR="00296F7D">
        <w:t xml:space="preserve"> or a uniform residence permit for employment purposes, nor may they apply to change the nature of the residence permit into one empowering them to seek or take up employment, while they are already in </w:t>
      </w:r>
      <w:r w:rsidR="00296F7D">
        <w:lastRenderedPageBreak/>
        <w:t xml:space="preserve">Malta, save as the Minister may direct in exceptional circumstances. Regulation </w:t>
      </w:r>
      <w:r>
        <w:t>12</w:t>
      </w:r>
      <w:r w:rsidR="00296F7D">
        <w:t xml:space="preserve">(3) is not yet in force and it is not specified when it will enter into force. If and when it enters into force, </w:t>
      </w:r>
      <w:r w:rsidR="00296F7D">
        <w:rPr>
          <w:lang w:val="en-GB"/>
        </w:rPr>
        <w:t>third country nationals</w:t>
      </w:r>
      <w:r w:rsidR="00296F7D" w:rsidRPr="00296F7D">
        <w:rPr>
          <w:lang w:val="en-GB"/>
        </w:rPr>
        <w:t xml:space="preserve"> will no longer be able to obtain </w:t>
      </w:r>
      <w:r w:rsidR="00296F7D">
        <w:rPr>
          <w:lang w:val="en-GB"/>
        </w:rPr>
        <w:t xml:space="preserve">an employment licence </w:t>
      </w:r>
      <w:r w:rsidR="00296F7D" w:rsidRPr="00296F7D">
        <w:rPr>
          <w:lang w:val="en-GB"/>
        </w:rPr>
        <w:t>while maintaining their MRVP status, except in exceptional circumstances</w:t>
      </w:r>
      <w:r w:rsidR="007402D9">
        <w:rPr>
          <w:lang w:val="en-GB"/>
        </w:rPr>
        <w:t xml:space="preserve"> that are not further defined in legislation.</w:t>
      </w:r>
    </w:p>
    <w:p w14:paraId="230F23B6" w14:textId="77777777" w:rsidR="00F63382" w:rsidRDefault="00F63382" w:rsidP="0069748F">
      <w:pPr>
        <w:pStyle w:val="MBT"/>
        <w:rPr>
          <w:lang w:val="en-GB"/>
        </w:rPr>
      </w:pPr>
    </w:p>
    <w:p w14:paraId="0029CE4C" w14:textId="7A955DD7" w:rsidR="00346D85" w:rsidRDefault="00E9410D" w:rsidP="00706F2B">
      <w:pPr>
        <w:pStyle w:val="MBT"/>
        <w:rPr>
          <w:lang w:val="en-GB"/>
        </w:rPr>
      </w:pPr>
      <w:r>
        <w:rPr>
          <w:lang w:val="en-GB"/>
        </w:rPr>
        <w:t xml:space="preserve">While </w:t>
      </w:r>
      <w:r w:rsidR="00A96DBB">
        <w:rPr>
          <w:lang w:val="en-GB"/>
        </w:rPr>
        <w:t xml:space="preserve">the </w:t>
      </w:r>
      <w:r>
        <w:rPr>
          <w:lang w:val="en-GB"/>
        </w:rPr>
        <w:t xml:space="preserve">Identity Malta </w:t>
      </w:r>
      <w:r w:rsidR="00A96DBB">
        <w:rPr>
          <w:lang w:val="en-GB"/>
        </w:rPr>
        <w:t xml:space="preserve">website </w:t>
      </w:r>
      <w:r>
        <w:rPr>
          <w:lang w:val="en-GB"/>
        </w:rPr>
        <w:t>claims that the certificate also allows the beneficiary</w:t>
      </w:r>
      <w:r w:rsidR="00135FE7">
        <w:rPr>
          <w:lang w:val="en-GB"/>
        </w:rPr>
        <w:t xml:space="preserve"> to </w:t>
      </w:r>
      <w:r w:rsidR="00135FE7" w:rsidRPr="00CB200B">
        <w:rPr>
          <w:b/>
          <w:lang w:val="en-GB"/>
        </w:rPr>
        <w:t>freely move around the countries in the Schengen Area</w:t>
      </w:r>
      <w:r w:rsidR="003C6B24">
        <w:rPr>
          <w:lang w:val="en-GB"/>
        </w:rPr>
        <w:t xml:space="preserve"> </w:t>
      </w:r>
      <w:r w:rsidR="00A934DA">
        <w:rPr>
          <w:lang w:val="en-GB"/>
        </w:rPr>
        <w:t>without a visa</w:t>
      </w:r>
      <w:r w:rsidR="00A96DBB">
        <w:rPr>
          <w:lang w:val="en-GB"/>
        </w:rPr>
        <w:t>,</w:t>
      </w:r>
      <w:r w:rsidR="00135FE7">
        <w:rPr>
          <w:rStyle w:val="FootnoteReference"/>
          <w:lang w:val="en-GB"/>
        </w:rPr>
        <w:footnoteReference w:id="154"/>
      </w:r>
      <w:r>
        <w:rPr>
          <w:lang w:val="en-GB"/>
        </w:rPr>
        <w:t xml:space="preserve"> </w:t>
      </w:r>
      <w:r w:rsidR="00505E81">
        <w:rPr>
          <w:lang w:val="en-GB"/>
        </w:rPr>
        <w:t>this information is misleading as movement is limited by the C</w:t>
      </w:r>
      <w:r w:rsidR="00505E81" w:rsidRPr="00505E81">
        <w:rPr>
          <w:lang w:val="en-GB"/>
        </w:rPr>
        <w:t>onvention implementing the Schengen Agreement</w:t>
      </w:r>
      <w:r w:rsidR="00505E81">
        <w:rPr>
          <w:lang w:val="en-GB"/>
        </w:rPr>
        <w:t xml:space="preserve"> </w:t>
      </w:r>
      <w:r w:rsidR="00036A3A">
        <w:rPr>
          <w:lang w:val="en-GB"/>
        </w:rPr>
        <w:t xml:space="preserve">to </w:t>
      </w:r>
      <w:r w:rsidR="00706F2B" w:rsidRPr="00706F2B">
        <w:rPr>
          <w:lang w:val="en-GB"/>
        </w:rPr>
        <w:t>90 days in any 180-day</w:t>
      </w:r>
      <w:r w:rsidR="00706F2B">
        <w:rPr>
          <w:lang w:val="en-GB"/>
        </w:rPr>
        <w:t xml:space="preserve"> </w:t>
      </w:r>
      <w:r w:rsidR="00A60AEB">
        <w:rPr>
          <w:lang w:val="en-GB"/>
        </w:rPr>
        <w:t xml:space="preserve">period </w:t>
      </w:r>
      <w:r w:rsidR="00036A3A">
        <w:rPr>
          <w:lang w:val="en-GB"/>
        </w:rPr>
        <w:t>and subject to conditions.</w:t>
      </w:r>
      <w:r w:rsidR="00036A3A">
        <w:rPr>
          <w:rStyle w:val="FootnoteReference"/>
          <w:lang w:val="en-GB"/>
        </w:rPr>
        <w:footnoteReference w:id="155"/>
      </w:r>
      <w:r w:rsidR="000223A5">
        <w:rPr>
          <w:lang w:val="en-GB"/>
        </w:rPr>
        <w:t xml:space="preserve"> </w:t>
      </w:r>
      <w:r w:rsidR="00A96DBB">
        <w:rPr>
          <w:lang w:val="en-GB"/>
        </w:rPr>
        <w:t xml:space="preserve"> </w:t>
      </w:r>
    </w:p>
    <w:p w14:paraId="047C8AB5" w14:textId="2D2D42BA" w:rsidR="006977F0" w:rsidRDefault="006977F0" w:rsidP="00706F2B">
      <w:pPr>
        <w:pStyle w:val="MBT"/>
        <w:rPr>
          <w:lang w:val="en-GB"/>
        </w:rPr>
      </w:pPr>
    </w:p>
    <w:p w14:paraId="3C65A21A" w14:textId="7D6D729B" w:rsidR="00AA4E8C" w:rsidRPr="003F43AE" w:rsidRDefault="00AA4E8C" w:rsidP="00FA6357">
      <w:pPr>
        <w:pStyle w:val="MBT"/>
        <w:numPr>
          <w:ilvl w:val="0"/>
          <w:numId w:val="38"/>
        </w:numPr>
        <w:rPr>
          <w:b/>
          <w:lang w:val="en-GB"/>
        </w:rPr>
      </w:pPr>
      <w:r w:rsidRPr="00FA6357">
        <w:rPr>
          <w:b/>
          <w:lang w:val="en-GB"/>
        </w:rPr>
        <w:t>GRP</w:t>
      </w:r>
    </w:p>
    <w:p w14:paraId="6AD2A33C" w14:textId="77777777" w:rsidR="00AA4E8C" w:rsidRPr="00FA6357" w:rsidRDefault="00AA4E8C" w:rsidP="00FA6357">
      <w:pPr>
        <w:pStyle w:val="MBT"/>
        <w:ind w:left="1080"/>
        <w:rPr>
          <w:b/>
          <w:lang w:val="en-GB"/>
        </w:rPr>
      </w:pPr>
    </w:p>
    <w:p w14:paraId="25522B74" w14:textId="3886C1F2" w:rsidR="003F43AE" w:rsidRPr="00FA6357" w:rsidRDefault="007C4A18" w:rsidP="009A7A12">
      <w:pPr>
        <w:pStyle w:val="MBT"/>
        <w:rPr>
          <w:lang w:val="en-GB"/>
        </w:rPr>
      </w:pPr>
      <w:r w:rsidRPr="003F43AE">
        <w:rPr>
          <w:lang w:val="en-GB"/>
        </w:rPr>
        <w:t xml:space="preserve">Rule 2 of LN 167/2013 defines </w:t>
      </w:r>
      <w:r w:rsidRPr="00FA6357">
        <w:rPr>
          <w:b/>
          <w:lang w:val="en-GB"/>
        </w:rPr>
        <w:t>‘rights acquired under this law’</w:t>
      </w:r>
      <w:r w:rsidRPr="003F43AE">
        <w:rPr>
          <w:lang w:val="en-GB"/>
        </w:rPr>
        <w:t xml:space="preserve"> as ‘the right to pay tax at the rate of ta</w:t>
      </w:r>
      <w:r w:rsidR="00EE1F63">
        <w:rPr>
          <w:lang w:val="en-GB"/>
        </w:rPr>
        <w:t>x</w:t>
      </w:r>
      <w:r w:rsidRPr="003F43AE">
        <w:rPr>
          <w:lang w:val="en-GB"/>
        </w:rPr>
        <w:t xml:space="preserve"> contemplated in </w:t>
      </w:r>
      <w:r w:rsidR="00346D85">
        <w:rPr>
          <w:lang w:val="en-GB"/>
        </w:rPr>
        <w:t>A</w:t>
      </w:r>
      <w:r w:rsidRPr="003F43AE">
        <w:rPr>
          <w:lang w:val="en-GB"/>
        </w:rPr>
        <w:t>rticle 56(23) of the [Income Tax] Act and these rules’.</w:t>
      </w:r>
      <w:r w:rsidR="00646057" w:rsidRPr="003F43AE">
        <w:rPr>
          <w:lang w:val="en-GB"/>
        </w:rPr>
        <w:t xml:space="preserve"> </w:t>
      </w:r>
      <w:r w:rsidR="003F43AE" w:rsidRPr="00FA6357">
        <w:rPr>
          <w:lang w:val="en-GB"/>
        </w:rPr>
        <w:t>Article 56(23) sets out the tax rate of 15 percent for individuals who were granted a special tax status after 1 January 2011. This includes GRP beneficiaries.</w:t>
      </w:r>
    </w:p>
    <w:p w14:paraId="7B024595" w14:textId="77777777" w:rsidR="003F43AE" w:rsidRPr="00FA6357" w:rsidRDefault="003F43AE" w:rsidP="009A7A12">
      <w:pPr>
        <w:pStyle w:val="MBT"/>
        <w:rPr>
          <w:lang w:val="en-GB"/>
        </w:rPr>
      </w:pPr>
    </w:p>
    <w:p w14:paraId="546C2A1A" w14:textId="53DA7A80" w:rsidR="00A74910" w:rsidRDefault="00646057" w:rsidP="00141EFD">
      <w:pPr>
        <w:pStyle w:val="MBT"/>
      </w:pPr>
      <w:r w:rsidRPr="003F43AE">
        <w:rPr>
          <w:lang w:val="en-GB"/>
        </w:rPr>
        <w:t>Rule 5(1)</w:t>
      </w:r>
      <w:r w:rsidR="003F43AE">
        <w:rPr>
          <w:lang w:val="en-GB"/>
        </w:rPr>
        <w:t xml:space="preserve"> of LN 167/2013</w:t>
      </w:r>
      <w:r w:rsidRPr="003F43AE">
        <w:rPr>
          <w:lang w:val="en-GB"/>
        </w:rPr>
        <w:t xml:space="preserve"> states that the rate of </w:t>
      </w:r>
      <w:r w:rsidR="009A7A12" w:rsidRPr="003F43AE">
        <w:t>fifteen cents (0.15) on every</w:t>
      </w:r>
      <w:r w:rsidRPr="003F43AE">
        <w:rPr>
          <w:lang w:val="en-GB"/>
        </w:rPr>
        <w:t xml:space="preserve"> </w:t>
      </w:r>
      <w:r w:rsidR="009A7A12" w:rsidRPr="003F43AE">
        <w:t xml:space="preserve">euro </w:t>
      </w:r>
      <w:r w:rsidRPr="003F43AE">
        <w:t>will apply</w:t>
      </w:r>
      <w:r w:rsidR="009A7A12" w:rsidRPr="003F43AE">
        <w:t xml:space="preserve"> on any income arising outside Malta in the year</w:t>
      </w:r>
      <w:r w:rsidRPr="003F43AE">
        <w:rPr>
          <w:lang w:val="en-GB"/>
        </w:rPr>
        <w:t xml:space="preserve"> </w:t>
      </w:r>
      <w:r w:rsidR="009A7A12" w:rsidRPr="003F43AE">
        <w:t>immediately preceding the year of assessment which is received in</w:t>
      </w:r>
      <w:r w:rsidRPr="003F43AE">
        <w:rPr>
          <w:lang w:val="en-GB"/>
        </w:rPr>
        <w:t xml:space="preserve"> </w:t>
      </w:r>
      <w:r w:rsidR="009A7A12" w:rsidRPr="003F43AE">
        <w:t>Malta</w:t>
      </w:r>
      <w:r w:rsidR="009A7A12" w:rsidRPr="009A7A12">
        <w:t xml:space="preserve"> (including income arising outside Malta and received in</w:t>
      </w:r>
      <w:r>
        <w:rPr>
          <w:lang w:val="en-GB"/>
        </w:rPr>
        <w:t xml:space="preserve"> </w:t>
      </w:r>
      <w:r w:rsidR="009A7A12" w:rsidRPr="009A7A12">
        <w:t>Malta during the whole of the year in which the special tax status</w:t>
      </w:r>
      <w:r>
        <w:t xml:space="preserve"> </w:t>
      </w:r>
      <w:r w:rsidR="009A7A12" w:rsidRPr="009A7A12">
        <w:t>was granted)</w:t>
      </w:r>
      <w:r w:rsidR="003F43AE">
        <w:t xml:space="preserve">. </w:t>
      </w:r>
      <w:r w:rsidR="00141EFD">
        <w:t xml:space="preserve">The </w:t>
      </w:r>
      <w:r w:rsidR="00141EFD" w:rsidRPr="00FA6357">
        <w:rPr>
          <w:b/>
        </w:rPr>
        <w:t xml:space="preserve">following persons will benefit </w:t>
      </w:r>
      <w:r w:rsidR="00141EFD" w:rsidRPr="00FA6357">
        <w:t>from this special tax rate</w:t>
      </w:r>
      <w:r w:rsidR="00141EFD">
        <w:t xml:space="preserve"> as well as the possibility to claim relief from double taxation: </w:t>
      </w:r>
    </w:p>
    <w:p w14:paraId="7F9A64E6" w14:textId="77777777" w:rsidR="00FA6357" w:rsidRDefault="00FA6357" w:rsidP="00141EFD">
      <w:pPr>
        <w:pStyle w:val="MBT"/>
      </w:pPr>
    </w:p>
    <w:p w14:paraId="3FF583A2" w14:textId="34058FF0" w:rsidR="00A74910" w:rsidRDefault="00A74910" w:rsidP="00FA6357">
      <w:pPr>
        <w:pStyle w:val="MBT"/>
        <w:numPr>
          <w:ilvl w:val="0"/>
          <w:numId w:val="44"/>
        </w:numPr>
        <w:rPr>
          <w:lang w:val="en-GB"/>
        </w:rPr>
      </w:pPr>
      <w:r>
        <w:t>the beneficiary;</w:t>
      </w:r>
    </w:p>
    <w:p w14:paraId="0C91F1A3" w14:textId="74885CEA" w:rsidR="00A74910" w:rsidRDefault="009A7A12" w:rsidP="00FA6357">
      <w:pPr>
        <w:pStyle w:val="MBT"/>
        <w:numPr>
          <w:ilvl w:val="0"/>
          <w:numId w:val="44"/>
        </w:numPr>
        <w:rPr>
          <w:lang w:val="en-GB"/>
        </w:rPr>
      </w:pPr>
      <w:r w:rsidRPr="009A7A12">
        <w:t>the beneficiary’s spouse</w:t>
      </w:r>
      <w:r w:rsidR="00A74910">
        <w:t>;</w:t>
      </w:r>
    </w:p>
    <w:p w14:paraId="61D8C835" w14:textId="66625A3B" w:rsidR="00A74910" w:rsidRDefault="003F43AE" w:rsidP="00FA6357">
      <w:pPr>
        <w:pStyle w:val="MBT"/>
        <w:numPr>
          <w:ilvl w:val="0"/>
          <w:numId w:val="44"/>
        </w:numPr>
        <w:rPr>
          <w:lang w:val="en-GB"/>
        </w:rPr>
      </w:pPr>
      <w:r>
        <w:t>the beneficiary’s minor children including adopted minor children and children in the care and custody of the beneficiary or of the beneficiary’s spouse or person with whom s/he is in a stable and durable relationship</w:t>
      </w:r>
      <w:r w:rsidR="00A74910">
        <w:t>;</w:t>
      </w:r>
    </w:p>
    <w:p w14:paraId="290A3C45" w14:textId="29CDEF4B" w:rsidR="003F43AE" w:rsidRPr="00FA6357" w:rsidRDefault="003F43AE" w:rsidP="00FA6357">
      <w:pPr>
        <w:pStyle w:val="MBT"/>
        <w:numPr>
          <w:ilvl w:val="0"/>
          <w:numId w:val="44"/>
        </w:numPr>
        <w:rPr>
          <w:lang w:val="en-GB"/>
        </w:rPr>
      </w:pPr>
      <w:r>
        <w:t>adult children including adult adopted children and children who are in the beneficiary’s care and custody or in the care and custody of the beneficiary’s spouse or the person s/he is in a sta</w:t>
      </w:r>
      <w:r w:rsidR="00141EFD">
        <w:t>ble and durable relationship,</w:t>
      </w:r>
      <w:r w:rsidR="00A74910">
        <w:rPr>
          <w:lang w:val="en-GB"/>
        </w:rPr>
        <w:t xml:space="preserve"> </w:t>
      </w:r>
      <w:r>
        <w:t xml:space="preserve">who because of serious </w:t>
      </w:r>
      <w:r w:rsidR="00141EFD">
        <w:t>illness</w:t>
      </w:r>
      <w:r>
        <w:t xml:space="preserve"> are unable to maintain themselves.</w:t>
      </w:r>
    </w:p>
    <w:p w14:paraId="44188668" w14:textId="3816BB6D" w:rsidR="00141EFD" w:rsidRDefault="00141EFD" w:rsidP="009A7A12">
      <w:pPr>
        <w:pStyle w:val="MBT"/>
      </w:pPr>
    </w:p>
    <w:p w14:paraId="1D71C4B4" w14:textId="52FFD880" w:rsidR="00141EFD" w:rsidRDefault="00141EFD" w:rsidP="00141EFD">
      <w:pPr>
        <w:pStyle w:val="MBT"/>
      </w:pPr>
      <w:r>
        <w:t>Income of the persons listed above, that is not chargeable at the special rate of 15 percent is charged as separate income at the rate of 35 cents on every euro.</w:t>
      </w:r>
      <w:r>
        <w:rPr>
          <w:rStyle w:val="FootnoteReference"/>
        </w:rPr>
        <w:footnoteReference w:id="156"/>
      </w:r>
    </w:p>
    <w:p w14:paraId="5B210961" w14:textId="77777777" w:rsidR="00141EFD" w:rsidRDefault="00141EFD" w:rsidP="009A7A12">
      <w:pPr>
        <w:pStyle w:val="MBT"/>
      </w:pPr>
    </w:p>
    <w:p w14:paraId="6EC07EA8" w14:textId="1EFB177C" w:rsidR="00646057" w:rsidRDefault="00646057" w:rsidP="00646057">
      <w:pPr>
        <w:pStyle w:val="MBT"/>
      </w:pPr>
      <w:r>
        <w:t>In any case,</w:t>
      </w:r>
      <w:r w:rsidR="009A7A12" w:rsidRPr="009A7A12">
        <w:t xml:space="preserve"> the </w:t>
      </w:r>
      <w:r w:rsidR="009A7A12" w:rsidRPr="00FA6357">
        <w:rPr>
          <w:b/>
        </w:rPr>
        <w:t>minimum amount of tax payable</w:t>
      </w:r>
      <w:r w:rsidR="009A7A12" w:rsidRPr="009A7A12">
        <w:t xml:space="preserve"> in terms</w:t>
      </w:r>
      <w:r>
        <w:t xml:space="preserve"> </w:t>
      </w:r>
      <w:r w:rsidR="009A7A12" w:rsidRPr="009A7A12">
        <w:t xml:space="preserve">of </w:t>
      </w:r>
      <w:r>
        <w:t>the GRP rules</w:t>
      </w:r>
      <w:r w:rsidR="009A7A12" w:rsidRPr="009A7A12">
        <w:t xml:space="preserve"> in respect of the income arising outside Malta </w:t>
      </w:r>
      <w:r>
        <w:t xml:space="preserve">must be EUR 15,000 </w:t>
      </w:r>
      <w:r w:rsidR="009A7A12" w:rsidRPr="009A7A12">
        <w:t xml:space="preserve">for any year of assessment. </w:t>
      </w:r>
      <w:r>
        <w:t xml:space="preserve">This </w:t>
      </w:r>
      <w:r w:rsidR="009A7A12" w:rsidRPr="009A7A12">
        <w:t>minimum amount is</w:t>
      </w:r>
      <w:r>
        <w:t xml:space="preserve"> </w:t>
      </w:r>
      <w:r w:rsidR="009A7A12" w:rsidRPr="009A7A12">
        <w:t>payable in full in both the year when the special tax status was</w:t>
      </w:r>
      <w:r>
        <w:t xml:space="preserve"> </w:t>
      </w:r>
      <w:r w:rsidR="009A7A12" w:rsidRPr="009A7A12">
        <w:t xml:space="preserve">granted </w:t>
      </w:r>
      <w:proofErr w:type="gramStart"/>
      <w:r w:rsidR="009A7A12" w:rsidRPr="009A7A12">
        <w:t>and in the year</w:t>
      </w:r>
      <w:proofErr w:type="gramEnd"/>
      <w:r w:rsidR="009A7A12" w:rsidRPr="009A7A12">
        <w:t xml:space="preserve"> when the individual ceases to possess the</w:t>
      </w:r>
      <w:r>
        <w:t xml:space="preserve"> </w:t>
      </w:r>
      <w:r w:rsidR="009A7A12" w:rsidRPr="009A7A12">
        <w:t>special tax status.</w:t>
      </w:r>
      <w:r w:rsidR="00141EFD">
        <w:rPr>
          <w:rStyle w:val="FootnoteReference"/>
        </w:rPr>
        <w:footnoteReference w:id="157"/>
      </w:r>
      <w:r w:rsidR="00141EFD">
        <w:t xml:space="preserve"> </w:t>
      </w:r>
      <w:r>
        <w:t>In accordance with Rule 5(3)</w:t>
      </w:r>
      <w:r w:rsidR="00723BF6">
        <w:t>(a)</w:t>
      </w:r>
      <w:r w:rsidR="00141EFD">
        <w:t xml:space="preserve"> of LN 167/2013,</w:t>
      </w:r>
      <w:r>
        <w:t xml:space="preserve"> </w:t>
      </w:r>
      <w:r w:rsidRPr="009A7A12">
        <w:t>th</w:t>
      </w:r>
      <w:r>
        <w:t xml:space="preserve">is </w:t>
      </w:r>
      <w:r w:rsidRPr="009A7A12">
        <w:t xml:space="preserve">minimum tax </w:t>
      </w:r>
      <w:r>
        <w:t>must be paid</w:t>
      </w:r>
      <w:r w:rsidRPr="009A7A12">
        <w:t xml:space="preserve"> by </w:t>
      </w:r>
      <w:r>
        <w:t>the 30</w:t>
      </w:r>
      <w:r w:rsidRPr="009A7A12">
        <w:t xml:space="preserve"> April of the</w:t>
      </w:r>
      <w:r>
        <w:t xml:space="preserve"> </w:t>
      </w:r>
      <w:r w:rsidR="00141EFD">
        <w:t>year immediately</w:t>
      </w:r>
      <w:r w:rsidR="00A74910">
        <w:t xml:space="preserve"> preceding the relevant year </w:t>
      </w:r>
      <w:r w:rsidRPr="009A7A12">
        <w:t>of</w:t>
      </w:r>
      <w:r>
        <w:t xml:space="preserve"> </w:t>
      </w:r>
      <w:r w:rsidRPr="009A7A12">
        <w:t xml:space="preserve">assessment. </w:t>
      </w:r>
      <w:r>
        <w:t>The</w:t>
      </w:r>
      <w:r w:rsidRPr="009A7A12">
        <w:t xml:space="preserve"> payment </w:t>
      </w:r>
      <w:r>
        <w:t xml:space="preserve">must </w:t>
      </w:r>
      <w:r w:rsidRPr="009A7A12">
        <w:t>be accompanied by a</w:t>
      </w:r>
      <w:r>
        <w:t xml:space="preserve"> r</w:t>
      </w:r>
      <w:r w:rsidRPr="007C4A18">
        <w:t xml:space="preserve">eturn made to the Commissioner </w:t>
      </w:r>
      <w:r>
        <w:t xml:space="preserve">for Revenue </w:t>
      </w:r>
      <w:r w:rsidRPr="007C4A18">
        <w:t>that provides proof</w:t>
      </w:r>
      <w:r>
        <w:t xml:space="preserve"> </w:t>
      </w:r>
      <w:r w:rsidR="00141EFD">
        <w:t xml:space="preserve">that all the requirements </w:t>
      </w:r>
      <w:r w:rsidR="00A74910">
        <w:t>of</w:t>
      </w:r>
      <w:r w:rsidRPr="007C4A18">
        <w:t xml:space="preserve"> </w:t>
      </w:r>
      <w:r w:rsidR="00A74910">
        <w:t>R</w:t>
      </w:r>
      <w:r w:rsidR="00A74910" w:rsidRPr="007C4A18">
        <w:t>ule 4</w:t>
      </w:r>
      <w:r w:rsidRPr="007C4A18">
        <w:t xml:space="preserve"> </w:t>
      </w:r>
      <w:r w:rsidR="00141EFD">
        <w:t xml:space="preserve">of LN 167/2013 (described in point 1.1 of Section II </w:t>
      </w:r>
      <w:r w:rsidR="00141EFD">
        <w:lastRenderedPageBreak/>
        <w:t>above)</w:t>
      </w:r>
      <w:r w:rsidRPr="007C4A18">
        <w:t xml:space="preserve"> </w:t>
      </w:r>
      <w:r w:rsidR="00A74910" w:rsidRPr="007C4A18">
        <w:t>continue to be</w:t>
      </w:r>
      <w:r>
        <w:t xml:space="preserve"> satisfied. The return </w:t>
      </w:r>
      <w:r w:rsidRPr="007C4A18">
        <w:t>does not need to</w:t>
      </w:r>
      <w:r>
        <w:t xml:space="preserve"> </w:t>
      </w:r>
      <w:r w:rsidRPr="007C4A18">
        <w:t>be submitted in the year in which the special tax status</w:t>
      </w:r>
      <w:r>
        <w:t xml:space="preserve"> </w:t>
      </w:r>
      <w:r w:rsidR="00723BF6">
        <w:t>is granted. Rule 5(3)(b)</w:t>
      </w:r>
      <w:r w:rsidR="00141EFD">
        <w:t xml:space="preserve"> of LN 167/2013</w:t>
      </w:r>
      <w:r w:rsidR="00723BF6">
        <w:t xml:space="preserve"> states that </w:t>
      </w:r>
      <w:r w:rsidRPr="007C4A18">
        <w:t>in the case of the year in which the special tax status is</w:t>
      </w:r>
      <w:r w:rsidR="00723BF6">
        <w:t xml:space="preserve"> </w:t>
      </w:r>
      <w:r w:rsidR="00141EFD">
        <w:t>granted, where</w:t>
      </w:r>
      <w:r w:rsidRPr="007C4A18">
        <w:t xml:space="preserve"> it is evident that the special tax status</w:t>
      </w:r>
      <w:r w:rsidR="00723BF6">
        <w:t xml:space="preserve"> </w:t>
      </w:r>
      <w:r w:rsidRPr="007C4A18">
        <w:t>wil</w:t>
      </w:r>
      <w:r w:rsidR="00723BF6">
        <w:t>l not be granted before 30</w:t>
      </w:r>
      <w:r w:rsidRPr="007C4A18">
        <w:t xml:space="preserve"> April, the minimum</w:t>
      </w:r>
      <w:r w:rsidR="00723BF6">
        <w:t xml:space="preserve"> </w:t>
      </w:r>
      <w:r w:rsidRPr="007C4A18">
        <w:t xml:space="preserve">tax </w:t>
      </w:r>
      <w:r w:rsidR="00723BF6">
        <w:t xml:space="preserve">must be paid </w:t>
      </w:r>
      <w:r w:rsidRPr="007C4A18">
        <w:t>before the special tax status is granted</w:t>
      </w:r>
      <w:r w:rsidR="00723BF6">
        <w:t>.</w:t>
      </w:r>
      <w:r w:rsidR="00141EFD">
        <w:t xml:space="preserve"> In accordance with Rule 5(3)(c) any </w:t>
      </w:r>
      <w:r w:rsidRPr="007C4A18">
        <w:t xml:space="preserve">tax paid </w:t>
      </w:r>
      <w:r w:rsidR="00723BF6">
        <w:t>is non-refundable</w:t>
      </w:r>
      <w:r w:rsidR="00141EFD">
        <w:t>.</w:t>
      </w:r>
    </w:p>
    <w:p w14:paraId="78CFFA6E" w14:textId="3FA44C3B" w:rsidR="009A7A12" w:rsidRPr="00FA6357" w:rsidRDefault="009A7A12" w:rsidP="00706F2B">
      <w:pPr>
        <w:pStyle w:val="MBT"/>
      </w:pPr>
    </w:p>
    <w:p w14:paraId="3B436DF0" w14:textId="5C759B23" w:rsidR="00135FE7" w:rsidRDefault="00346D85" w:rsidP="0069748F">
      <w:pPr>
        <w:pStyle w:val="MBT"/>
        <w:rPr>
          <w:lang w:val="en-GB"/>
        </w:rPr>
      </w:pPr>
      <w:r w:rsidRPr="00FA5334">
        <w:rPr>
          <w:lang w:val="en-GB"/>
        </w:rPr>
        <w:t xml:space="preserve">GRP beneficiaries </w:t>
      </w:r>
      <w:r w:rsidR="00A35294" w:rsidRPr="00FA5334">
        <w:rPr>
          <w:lang w:val="en-GB"/>
        </w:rPr>
        <w:t>who</w:t>
      </w:r>
      <w:r w:rsidRPr="00FA5334">
        <w:rPr>
          <w:lang w:val="en-GB"/>
        </w:rPr>
        <w:t xml:space="preserve"> </w:t>
      </w:r>
      <w:r w:rsidR="00A35294" w:rsidRPr="00FA5334">
        <w:rPr>
          <w:lang w:val="en-GB"/>
        </w:rPr>
        <w:t>apply for the MRVP in line with the requirements of LN 288/2015 or for a uniform residence permit in terms of the Immigration Regulations would benefit from the rights emanating from Article 7 of the Immigration Act as described for the MRVP above.</w:t>
      </w:r>
    </w:p>
    <w:p w14:paraId="6606DA0B" w14:textId="77777777" w:rsidR="00A35294" w:rsidRPr="00523824" w:rsidRDefault="00A35294" w:rsidP="0069748F">
      <w:pPr>
        <w:pStyle w:val="MBT"/>
        <w:rPr>
          <w:lang w:val="en-GB"/>
        </w:rPr>
      </w:pPr>
    </w:p>
    <w:p w14:paraId="28BC9167" w14:textId="77777777" w:rsidR="00B311A7" w:rsidRPr="00523824" w:rsidRDefault="00B311A7" w:rsidP="0069748F">
      <w:pPr>
        <w:pStyle w:val="MH1"/>
        <w:pageBreakBefore w:val="0"/>
        <w:spacing w:after="0"/>
        <w:ind w:left="431" w:hanging="431"/>
      </w:pPr>
      <w:bookmarkStart w:id="31" w:name="_Toc517765946"/>
      <w:r w:rsidRPr="00523824">
        <w:t>Rights granted to the investors’ family members</w:t>
      </w:r>
      <w:bookmarkEnd w:id="31"/>
    </w:p>
    <w:p w14:paraId="3EA9A885" w14:textId="77777777" w:rsidR="0069748F" w:rsidRDefault="0069748F" w:rsidP="0069748F">
      <w:pPr>
        <w:pStyle w:val="MBT"/>
        <w:rPr>
          <w:lang w:val="en-GB"/>
        </w:rPr>
      </w:pPr>
    </w:p>
    <w:p w14:paraId="295DE874" w14:textId="0C375A60" w:rsidR="008E29F0" w:rsidRDefault="00090B2D" w:rsidP="0069748F">
      <w:pPr>
        <w:pStyle w:val="MBT"/>
        <w:rPr>
          <w:lang w:val="en-GB"/>
        </w:rPr>
      </w:pPr>
      <w:r w:rsidRPr="00090B2D">
        <w:rPr>
          <w:lang w:val="en-GB"/>
        </w:rPr>
        <w:t>Dependants</w:t>
      </w:r>
      <w:r w:rsidR="006A7B70" w:rsidRPr="00090B2D">
        <w:rPr>
          <w:lang w:val="en-GB"/>
        </w:rPr>
        <w:t xml:space="preserve"> </w:t>
      </w:r>
      <w:r w:rsidR="008853D8" w:rsidRPr="00D5394E">
        <w:rPr>
          <w:b/>
          <w:lang w:val="en-GB"/>
        </w:rPr>
        <w:t>under the MRVP</w:t>
      </w:r>
      <w:r w:rsidR="008853D8">
        <w:rPr>
          <w:lang w:val="en-GB"/>
        </w:rPr>
        <w:t xml:space="preserve"> </w:t>
      </w:r>
      <w:r w:rsidR="006A7B70" w:rsidRPr="00090B2D">
        <w:rPr>
          <w:lang w:val="en-GB"/>
        </w:rPr>
        <w:t xml:space="preserve">as defined </w:t>
      </w:r>
      <w:r w:rsidR="008853D8">
        <w:rPr>
          <w:lang w:val="en-GB"/>
        </w:rPr>
        <w:t xml:space="preserve">by </w:t>
      </w:r>
      <w:r w:rsidR="006A7B70" w:rsidRPr="00090B2D">
        <w:rPr>
          <w:lang w:val="en-GB"/>
        </w:rPr>
        <w:t>Regulation 2</w:t>
      </w:r>
      <w:r w:rsidRPr="00090B2D">
        <w:rPr>
          <w:lang w:val="en-GB"/>
        </w:rPr>
        <w:t xml:space="preserve"> of LN 288/2015</w:t>
      </w:r>
      <w:r w:rsidR="00723BF6">
        <w:rPr>
          <w:lang w:val="en-GB"/>
        </w:rPr>
        <w:t xml:space="preserve"> </w:t>
      </w:r>
      <w:r w:rsidRPr="00090B2D">
        <w:rPr>
          <w:lang w:val="en-GB"/>
        </w:rPr>
        <w:t>are granted the same rights (mentioned in point 1 above) as the main beneficiary</w:t>
      </w:r>
      <w:r w:rsidR="008853D8">
        <w:rPr>
          <w:lang w:val="en-GB"/>
        </w:rPr>
        <w:t xml:space="preserve">. </w:t>
      </w:r>
      <w:r w:rsidR="00A74910">
        <w:rPr>
          <w:lang w:val="en-GB"/>
        </w:rPr>
        <w:t>Dependants as</w:t>
      </w:r>
      <w:r w:rsidR="008853D8">
        <w:rPr>
          <w:lang w:val="en-GB"/>
        </w:rPr>
        <w:t xml:space="preserve"> defined in Rule 2 of LN 167/2013 that benefit from the same rights as the main beneficiary </w:t>
      </w:r>
      <w:r w:rsidR="008853D8" w:rsidRPr="00D5394E">
        <w:rPr>
          <w:b/>
          <w:lang w:val="en-GB"/>
        </w:rPr>
        <w:t>under the GRP</w:t>
      </w:r>
      <w:r w:rsidR="008853D8">
        <w:rPr>
          <w:lang w:val="en-GB"/>
        </w:rPr>
        <w:t xml:space="preserve"> are listed in point 1 above</w:t>
      </w:r>
      <w:r w:rsidRPr="00090B2D">
        <w:rPr>
          <w:lang w:val="en-GB"/>
        </w:rPr>
        <w:t>.</w:t>
      </w:r>
    </w:p>
    <w:p w14:paraId="615C307B" w14:textId="77777777" w:rsidR="006A7B70" w:rsidRDefault="006A7B70" w:rsidP="0069748F">
      <w:pPr>
        <w:pStyle w:val="MBT"/>
        <w:rPr>
          <w:lang w:val="en-GB"/>
        </w:rPr>
      </w:pPr>
    </w:p>
    <w:p w14:paraId="1556DD7B" w14:textId="596ED981" w:rsidR="00C13118" w:rsidRDefault="008853D8" w:rsidP="0069748F">
      <w:pPr>
        <w:pStyle w:val="MBT"/>
        <w:rPr>
          <w:lang w:val="en-GB"/>
        </w:rPr>
      </w:pPr>
      <w:r>
        <w:rPr>
          <w:lang w:val="en-GB"/>
        </w:rPr>
        <w:t xml:space="preserve">In addition, as regards </w:t>
      </w:r>
      <w:r w:rsidRPr="00D5394E">
        <w:rPr>
          <w:b/>
          <w:lang w:val="en-GB"/>
        </w:rPr>
        <w:t>the MRVP</w:t>
      </w:r>
      <w:r w:rsidR="00A74910">
        <w:rPr>
          <w:lang w:val="en-GB"/>
        </w:rPr>
        <w:t xml:space="preserve">, </w:t>
      </w:r>
      <w:r w:rsidR="001E684B">
        <w:rPr>
          <w:lang w:val="en-GB"/>
        </w:rPr>
        <w:t>Regulation 5(4) of LN 288/2015 grants certain rights to dependants following the death of a beneficiary. In exceptional circumstances, the MRVA can determine that the residence certificate will be issued to a dependant of the deceased beneficiary. The dependant must first prove that to the MRVA that all the requirements of LN 288/2015 are satisfied.</w:t>
      </w:r>
    </w:p>
    <w:p w14:paraId="6A9D3496" w14:textId="6C91605A" w:rsidR="001E684B" w:rsidRDefault="001E684B" w:rsidP="0069748F">
      <w:pPr>
        <w:pStyle w:val="MBT"/>
        <w:rPr>
          <w:lang w:val="en-GB"/>
        </w:rPr>
      </w:pPr>
    </w:p>
    <w:p w14:paraId="202A4FA3" w14:textId="3ABA4186" w:rsidR="00DB509D" w:rsidRDefault="00DB509D" w:rsidP="0069748F">
      <w:pPr>
        <w:pStyle w:val="MBT"/>
        <w:rPr>
          <w:lang w:val="en-GB"/>
        </w:rPr>
      </w:pPr>
      <w:r>
        <w:rPr>
          <w:lang w:val="en-GB"/>
        </w:rPr>
        <w:t xml:space="preserve">As regards </w:t>
      </w:r>
      <w:r w:rsidRPr="00D5394E">
        <w:rPr>
          <w:b/>
          <w:lang w:val="en-GB"/>
        </w:rPr>
        <w:t>the GRP</w:t>
      </w:r>
      <w:r>
        <w:rPr>
          <w:lang w:val="en-GB"/>
        </w:rPr>
        <w:t xml:space="preserve">, </w:t>
      </w:r>
      <w:r w:rsidR="005C7EC4">
        <w:rPr>
          <w:lang w:val="en-GB"/>
        </w:rPr>
        <w:t>Rule 3(</w:t>
      </w:r>
      <w:r w:rsidR="00AA4E8C">
        <w:rPr>
          <w:lang w:val="en-GB"/>
        </w:rPr>
        <w:t>3</w:t>
      </w:r>
      <w:r w:rsidR="005C7EC4">
        <w:rPr>
          <w:lang w:val="en-GB"/>
        </w:rPr>
        <w:t xml:space="preserve">) of Regulation 167/2013 </w:t>
      </w:r>
      <w:r w:rsidR="00780E1F">
        <w:rPr>
          <w:lang w:val="en-GB"/>
        </w:rPr>
        <w:t xml:space="preserve">states that </w:t>
      </w:r>
      <w:r>
        <w:rPr>
          <w:lang w:val="en-GB"/>
        </w:rPr>
        <w:t xml:space="preserve">following the </w:t>
      </w:r>
      <w:r w:rsidR="00A74910">
        <w:rPr>
          <w:lang w:val="en-GB"/>
        </w:rPr>
        <w:t xml:space="preserve">beneficiary’s </w:t>
      </w:r>
      <w:r>
        <w:rPr>
          <w:lang w:val="en-GB"/>
        </w:rPr>
        <w:t xml:space="preserve">death, the special tax status is granted to the dependant of the deceased beneficiary who inherited the property that was the </w:t>
      </w:r>
      <w:r w:rsidR="00A74910">
        <w:rPr>
          <w:lang w:val="en-GB"/>
        </w:rPr>
        <w:t xml:space="preserve">deceased beneficiary’s </w:t>
      </w:r>
      <w:r>
        <w:rPr>
          <w:lang w:val="en-GB"/>
        </w:rPr>
        <w:t xml:space="preserve">primary residence, or who </w:t>
      </w:r>
      <w:r w:rsidR="005C7EC4">
        <w:rPr>
          <w:lang w:val="en-GB"/>
        </w:rPr>
        <w:t>rents a qualifying rented property immediately after the</w:t>
      </w:r>
      <w:r w:rsidR="00A74910">
        <w:rPr>
          <w:lang w:val="en-GB"/>
        </w:rPr>
        <w:t xml:space="preserve"> beneficiary’s</w:t>
      </w:r>
      <w:r w:rsidR="005C7EC4">
        <w:rPr>
          <w:lang w:val="en-GB"/>
        </w:rPr>
        <w:t xml:space="preserve"> death and satisfies all the other requirements set out in Rule 4</w:t>
      </w:r>
      <w:r w:rsidR="00AA4E8C">
        <w:rPr>
          <w:lang w:val="en-GB"/>
        </w:rPr>
        <w:t xml:space="preserve"> of LN 167/2013</w:t>
      </w:r>
      <w:r w:rsidR="008853D8">
        <w:rPr>
          <w:lang w:val="en-GB"/>
        </w:rPr>
        <w:t xml:space="preserve"> (as described in point 1.1 of Section II above)</w:t>
      </w:r>
      <w:r w:rsidR="005C7EC4">
        <w:rPr>
          <w:lang w:val="en-GB"/>
        </w:rPr>
        <w:t xml:space="preserve">. The special tax status can </w:t>
      </w:r>
      <w:r w:rsidR="00723BF6">
        <w:rPr>
          <w:lang w:val="en-GB"/>
        </w:rPr>
        <w:t>only</w:t>
      </w:r>
      <w:r w:rsidR="005C7EC4">
        <w:rPr>
          <w:lang w:val="en-GB"/>
        </w:rPr>
        <w:t xml:space="preserve"> be transferred once the said dependant proves to the Commissioner for Revenue that the</w:t>
      </w:r>
      <w:r w:rsidR="00AA4E8C">
        <w:rPr>
          <w:lang w:val="en-GB"/>
        </w:rPr>
        <w:t xml:space="preserve"> GRP</w:t>
      </w:r>
      <w:r w:rsidR="005C7EC4">
        <w:rPr>
          <w:lang w:val="en-GB"/>
        </w:rPr>
        <w:t xml:space="preserve"> requirement</w:t>
      </w:r>
      <w:r w:rsidR="00AA4E8C">
        <w:rPr>
          <w:lang w:val="en-GB"/>
        </w:rPr>
        <w:t>s</w:t>
      </w:r>
      <w:r w:rsidR="005C7EC4">
        <w:rPr>
          <w:lang w:val="en-GB"/>
        </w:rPr>
        <w:t xml:space="preserve"> are satisfied.</w:t>
      </w:r>
    </w:p>
    <w:p w14:paraId="29F136AB" w14:textId="77777777" w:rsidR="005C7EC4" w:rsidRPr="00523824" w:rsidRDefault="005C7EC4" w:rsidP="0069748F">
      <w:pPr>
        <w:pStyle w:val="MBT"/>
        <w:rPr>
          <w:lang w:val="en-GB"/>
        </w:rPr>
      </w:pPr>
    </w:p>
    <w:p w14:paraId="05E71AD7" w14:textId="473B9A9C" w:rsidR="00B311A7" w:rsidRPr="00523824" w:rsidRDefault="00B311A7" w:rsidP="0069748F">
      <w:pPr>
        <w:pStyle w:val="MH1"/>
        <w:pageBreakBefore w:val="0"/>
        <w:spacing w:after="0"/>
        <w:ind w:left="431" w:hanging="431"/>
      </w:pPr>
      <w:bookmarkStart w:id="32" w:name="_Toc517765947"/>
      <w:r w:rsidRPr="00523824">
        <w:t>Other benefits</w:t>
      </w:r>
      <w:bookmarkEnd w:id="32"/>
      <w:r w:rsidRPr="00523824">
        <w:t xml:space="preserve"> </w:t>
      </w:r>
    </w:p>
    <w:p w14:paraId="45DE7022" w14:textId="77777777" w:rsidR="00DC2491" w:rsidRDefault="00DC2491" w:rsidP="0069748F">
      <w:pPr>
        <w:pStyle w:val="MBT"/>
        <w:rPr>
          <w:i/>
          <w:color w:val="FF0000"/>
          <w:lang w:val="en-GB"/>
        </w:rPr>
      </w:pPr>
    </w:p>
    <w:p w14:paraId="783F0DC9" w14:textId="7DC7073E" w:rsidR="00FF16B9" w:rsidRDefault="00DC2491" w:rsidP="00FF16B9">
      <w:pPr>
        <w:pStyle w:val="MBT"/>
        <w:rPr>
          <w:lang w:val="en-GB"/>
        </w:rPr>
      </w:pPr>
      <w:r w:rsidRPr="00DC2491">
        <w:rPr>
          <w:lang w:val="en-GB"/>
        </w:rPr>
        <w:t xml:space="preserve">The </w:t>
      </w:r>
      <w:r w:rsidRPr="00D5394E">
        <w:rPr>
          <w:b/>
          <w:lang w:val="en-GB"/>
        </w:rPr>
        <w:t>MRVP beneficiary</w:t>
      </w:r>
      <w:r w:rsidRPr="00DC2491">
        <w:rPr>
          <w:lang w:val="en-GB"/>
        </w:rPr>
        <w:t xml:space="preserve"> may benefit from </w:t>
      </w:r>
      <w:r w:rsidRPr="00BF2E9C">
        <w:rPr>
          <w:lang w:val="en-GB"/>
        </w:rPr>
        <w:t>special tax regimes.</w:t>
      </w:r>
      <w:r w:rsidRPr="00BF2E9C">
        <w:rPr>
          <w:color w:val="FF0000"/>
          <w:lang w:val="en-GB"/>
        </w:rPr>
        <w:t xml:space="preserve"> </w:t>
      </w:r>
      <w:r w:rsidR="004D5A2D" w:rsidRPr="00BF2E9C">
        <w:rPr>
          <w:lang w:val="en-GB"/>
        </w:rPr>
        <w:t xml:space="preserve">Taxation of MRVP beneficiaries depends on whether the individual is resident in Malta for the country’s income tax purposes. </w:t>
      </w:r>
      <w:r w:rsidR="00FF16B9">
        <w:rPr>
          <w:lang w:val="en-GB"/>
        </w:rPr>
        <w:t>Under the Income Tax Act (</w:t>
      </w:r>
      <w:r w:rsidR="00EC0144">
        <w:rPr>
          <w:lang w:val="en-GB"/>
        </w:rPr>
        <w:t>A</w:t>
      </w:r>
      <w:r w:rsidR="00FF16B9">
        <w:rPr>
          <w:lang w:val="en-GB"/>
        </w:rPr>
        <w:t>rticle 4), an individual is not tax resident in the country if he or she spends less than 183 days in Malta</w:t>
      </w:r>
      <w:r w:rsidR="00FF16B9">
        <w:rPr>
          <w:color w:val="000000"/>
        </w:rPr>
        <w:t>.</w:t>
      </w:r>
      <w:r w:rsidR="00FF16B9">
        <w:rPr>
          <w:rStyle w:val="FootnoteReference"/>
          <w:color w:val="000000"/>
        </w:rPr>
        <w:footnoteReference w:id="158"/>
      </w:r>
      <w:r w:rsidR="00FF16B9">
        <w:rPr>
          <w:color w:val="000000"/>
        </w:rPr>
        <w:t xml:space="preserve"> They are however deemed resident for tax purposes if their spouse</w:t>
      </w:r>
      <w:r w:rsidR="00FF16B9" w:rsidRPr="00FF16B9">
        <w:rPr>
          <w:color w:val="000000"/>
        </w:rPr>
        <w:t xml:space="preserve"> is ordinarily</w:t>
      </w:r>
      <w:r w:rsidR="00FF16B9">
        <w:rPr>
          <w:color w:val="000000"/>
        </w:rPr>
        <w:t xml:space="preserve"> </w:t>
      </w:r>
      <w:r w:rsidR="00FF16B9" w:rsidRPr="00FF16B9">
        <w:rPr>
          <w:color w:val="000000"/>
        </w:rPr>
        <w:t>resident and domiciled in Malta.</w:t>
      </w:r>
      <w:r w:rsidR="00FF16B9">
        <w:rPr>
          <w:color w:val="000000"/>
        </w:rPr>
        <w:t xml:space="preserve"> </w:t>
      </w:r>
    </w:p>
    <w:p w14:paraId="0BAE66C1" w14:textId="77777777" w:rsidR="0060431F" w:rsidRDefault="0060431F" w:rsidP="0069748F">
      <w:pPr>
        <w:pStyle w:val="MBT"/>
        <w:rPr>
          <w:lang w:val="en-GB"/>
        </w:rPr>
      </w:pPr>
    </w:p>
    <w:p w14:paraId="3CA8C0C5" w14:textId="77777777" w:rsidR="0060431F" w:rsidRPr="007C0BEB" w:rsidRDefault="004D5A2D" w:rsidP="0069748F">
      <w:pPr>
        <w:pStyle w:val="MBT"/>
        <w:rPr>
          <w:lang w:val="en-GB"/>
        </w:rPr>
      </w:pPr>
      <w:r w:rsidRPr="00BF2E9C">
        <w:rPr>
          <w:lang w:val="en-GB"/>
        </w:rPr>
        <w:t>If resident, the individual will be subject to tax on income and capital gains arising</w:t>
      </w:r>
      <w:r w:rsidRPr="00DC2491">
        <w:rPr>
          <w:lang w:val="en-GB"/>
        </w:rPr>
        <w:t xml:space="preserve"> in Malta and on foreign </w:t>
      </w:r>
      <w:r w:rsidR="00DC2491" w:rsidRPr="00DC2491">
        <w:rPr>
          <w:lang w:val="en-GB"/>
        </w:rPr>
        <w:t xml:space="preserve">income </w:t>
      </w:r>
      <w:r w:rsidR="00DC2491" w:rsidRPr="007C0BEB">
        <w:rPr>
          <w:lang w:val="en-GB"/>
        </w:rPr>
        <w:t>that</w:t>
      </w:r>
      <w:r w:rsidRPr="007C0BEB">
        <w:rPr>
          <w:lang w:val="en-GB"/>
        </w:rPr>
        <w:t xml:space="preserve"> is remitted to Malta. Progressive tax rates of 0 - 35% apply for income over</w:t>
      </w:r>
      <w:r w:rsidR="00FA3B38" w:rsidRPr="007C0BEB">
        <w:rPr>
          <w:lang w:val="en-GB"/>
        </w:rPr>
        <w:t xml:space="preserve"> EUR</w:t>
      </w:r>
      <w:r w:rsidRPr="007C0BEB">
        <w:rPr>
          <w:lang w:val="en-GB"/>
        </w:rPr>
        <w:t xml:space="preserve"> 60,000 and individuals may claim relief to avoid d</w:t>
      </w:r>
      <w:r w:rsidR="00FA3B38" w:rsidRPr="007C0BEB">
        <w:rPr>
          <w:lang w:val="en-GB"/>
        </w:rPr>
        <w:t>ouble</w:t>
      </w:r>
      <w:r w:rsidRPr="007C0BEB">
        <w:rPr>
          <w:lang w:val="en-GB"/>
        </w:rPr>
        <w:t xml:space="preserve"> taxation. </w:t>
      </w:r>
    </w:p>
    <w:p w14:paraId="3B803771" w14:textId="77777777" w:rsidR="0060431F" w:rsidRPr="007C0BEB" w:rsidRDefault="0060431F" w:rsidP="0069748F">
      <w:pPr>
        <w:pStyle w:val="MBT"/>
        <w:rPr>
          <w:lang w:val="en-GB"/>
        </w:rPr>
      </w:pPr>
    </w:p>
    <w:p w14:paraId="7B69BA30" w14:textId="1B71307B" w:rsidR="00FF16B9" w:rsidRDefault="004D5A2D" w:rsidP="0069748F">
      <w:pPr>
        <w:pStyle w:val="MBT"/>
        <w:rPr>
          <w:rFonts w:ascii="Times" w:hAnsi="Times"/>
          <w:lang w:val="en-GB" w:eastAsia="en-US"/>
        </w:rPr>
      </w:pPr>
      <w:r w:rsidRPr="007C0BEB">
        <w:rPr>
          <w:lang w:val="en-GB"/>
        </w:rPr>
        <w:t xml:space="preserve">If the MRVP beneficiary is not </w:t>
      </w:r>
      <w:r w:rsidR="00BF2E9C" w:rsidRPr="007C0BEB">
        <w:rPr>
          <w:lang w:val="en-GB"/>
        </w:rPr>
        <w:t>tax</w:t>
      </w:r>
      <w:r w:rsidRPr="007C0BEB">
        <w:rPr>
          <w:lang w:val="en-GB"/>
        </w:rPr>
        <w:t xml:space="preserve"> resident </w:t>
      </w:r>
      <w:r w:rsidR="00BF2E9C" w:rsidRPr="007C0BEB">
        <w:rPr>
          <w:lang w:val="en-GB"/>
        </w:rPr>
        <w:t xml:space="preserve">in </w:t>
      </w:r>
      <w:r w:rsidRPr="007C0BEB">
        <w:rPr>
          <w:lang w:val="en-GB"/>
        </w:rPr>
        <w:t>Malta, they are subject to a tax on capital gains arising in Malta</w:t>
      </w:r>
      <w:r w:rsidR="007C0BEB" w:rsidRPr="007C0BEB">
        <w:rPr>
          <w:lang w:val="en-GB"/>
        </w:rPr>
        <w:t xml:space="preserve"> at a flat rate of 35%</w:t>
      </w:r>
      <w:r w:rsidRPr="007C0BEB">
        <w:rPr>
          <w:lang w:val="en-GB"/>
        </w:rPr>
        <w:t>.</w:t>
      </w:r>
      <w:r w:rsidRPr="007C0BEB">
        <w:rPr>
          <w:rStyle w:val="FootnoteReference"/>
          <w:lang w:val="en-GB"/>
        </w:rPr>
        <w:footnoteReference w:id="159"/>
      </w:r>
      <w:r w:rsidR="00FF16B9" w:rsidRPr="007C0BEB">
        <w:rPr>
          <w:lang w:val="en-GB"/>
        </w:rPr>
        <w:t xml:space="preserve"> </w:t>
      </w:r>
      <w:r w:rsidR="007C0BEB" w:rsidRPr="007C0BEB">
        <w:rPr>
          <w:lang w:val="en-GB"/>
        </w:rPr>
        <w:t xml:space="preserve">Capital gains under </w:t>
      </w:r>
      <w:r w:rsidR="00CA6D13">
        <w:rPr>
          <w:lang w:val="en-GB"/>
        </w:rPr>
        <w:t>A</w:t>
      </w:r>
      <w:r w:rsidR="007C0BEB" w:rsidRPr="007C0BEB">
        <w:rPr>
          <w:lang w:val="en-GB"/>
        </w:rPr>
        <w:t xml:space="preserve">rticle 5 of the Income Tax Act include </w:t>
      </w:r>
      <w:r w:rsidR="007C0BEB" w:rsidRPr="007C0BEB">
        <w:rPr>
          <w:lang w:val="en-GB" w:eastAsia="en-US"/>
        </w:rPr>
        <w:t>gains or profits</w:t>
      </w:r>
      <w:r w:rsidR="007C0BEB" w:rsidRPr="007C0BEB">
        <w:rPr>
          <w:lang w:val="en-GB"/>
        </w:rPr>
        <w:t xml:space="preserve"> </w:t>
      </w:r>
      <w:r w:rsidR="00CA6D13" w:rsidRPr="00CA6D13">
        <w:rPr>
          <w:lang w:val="en-GB" w:eastAsia="en-US"/>
        </w:rPr>
        <w:t xml:space="preserve">arising from </w:t>
      </w:r>
      <w:r w:rsidR="00FF16B9" w:rsidRPr="00CA6D13">
        <w:rPr>
          <w:lang w:val="en-GB" w:eastAsia="en-US"/>
        </w:rPr>
        <w:t>(</w:t>
      </w:r>
      <w:r w:rsidR="007C0BEB" w:rsidRPr="007C0BEB">
        <w:rPr>
          <w:lang w:val="en-GB" w:eastAsia="en-US"/>
        </w:rPr>
        <w:t>1</w:t>
      </w:r>
      <w:r w:rsidR="00FF16B9" w:rsidRPr="00CA6D13">
        <w:rPr>
          <w:lang w:val="en-GB" w:eastAsia="en-US"/>
        </w:rPr>
        <w:t>) any transfer of the</w:t>
      </w:r>
      <w:r w:rsidR="007C0BEB" w:rsidRPr="00CA6D13">
        <w:rPr>
          <w:lang w:val="en-GB" w:eastAsia="en-US"/>
        </w:rPr>
        <w:t xml:space="preserve"> </w:t>
      </w:r>
      <w:r w:rsidR="00FF16B9" w:rsidRPr="00CA6D13">
        <w:rPr>
          <w:lang w:val="en-GB" w:eastAsia="en-US"/>
        </w:rPr>
        <w:t xml:space="preserve">ownership  or  </w:t>
      </w:r>
      <w:r w:rsidR="007C0BEB" w:rsidRPr="00CA6D13">
        <w:rPr>
          <w:lang w:val="en-GB" w:eastAsia="en-US"/>
        </w:rPr>
        <w:t>use of real estate</w:t>
      </w:r>
      <w:r w:rsidR="00FF16B9" w:rsidRPr="00CA6D13">
        <w:rPr>
          <w:lang w:val="en-GB" w:eastAsia="en-US"/>
        </w:rPr>
        <w:t>;</w:t>
      </w:r>
      <w:r w:rsidR="007C0BEB" w:rsidRPr="007C0BEB">
        <w:rPr>
          <w:lang w:val="en-GB" w:eastAsia="en-US"/>
        </w:rPr>
        <w:t xml:space="preserve"> (2</w:t>
      </w:r>
      <w:r w:rsidR="00FF16B9" w:rsidRPr="00CA6D13">
        <w:rPr>
          <w:lang w:val="en-GB" w:eastAsia="en-US"/>
        </w:rPr>
        <w:t xml:space="preserve">) the </w:t>
      </w:r>
      <w:r w:rsidR="007C0BEB" w:rsidRPr="007C0BEB">
        <w:rPr>
          <w:lang w:val="en-GB" w:eastAsia="en-US"/>
        </w:rPr>
        <w:t>sale</w:t>
      </w:r>
      <w:r w:rsidR="00FF16B9" w:rsidRPr="00CA6D13">
        <w:rPr>
          <w:lang w:val="en-GB" w:eastAsia="en-US"/>
        </w:rPr>
        <w:t xml:space="preserve">  of  any  rights  over  any  securities,</w:t>
      </w:r>
      <w:r w:rsidR="007C0BEB" w:rsidRPr="007C0BEB">
        <w:rPr>
          <w:lang w:val="en-GB" w:eastAsia="en-US"/>
        </w:rPr>
        <w:t xml:space="preserve"> </w:t>
      </w:r>
      <w:r w:rsidR="00FF16B9" w:rsidRPr="00CA6D13">
        <w:rPr>
          <w:lang w:val="en-GB" w:eastAsia="en-US"/>
        </w:rPr>
        <w:t>business, goodwill, business permits, copyright,</w:t>
      </w:r>
      <w:r w:rsidR="007C0BEB" w:rsidRPr="007C0BEB">
        <w:rPr>
          <w:lang w:val="en-GB" w:eastAsia="en-US"/>
        </w:rPr>
        <w:t xml:space="preserve"> </w:t>
      </w:r>
      <w:r w:rsidR="00FF16B9" w:rsidRPr="00CA6D13">
        <w:rPr>
          <w:lang w:val="en-GB" w:eastAsia="en-US"/>
        </w:rPr>
        <w:t>patents,  trademarks  and  trade-names  and  any</w:t>
      </w:r>
      <w:r w:rsidR="007C0BEB" w:rsidRPr="007C0BEB">
        <w:rPr>
          <w:lang w:val="en-GB" w:eastAsia="en-US"/>
        </w:rPr>
        <w:t xml:space="preserve"> </w:t>
      </w:r>
      <w:r w:rsidR="00FF16B9" w:rsidRPr="00CA6D13">
        <w:rPr>
          <w:lang w:val="en-GB" w:eastAsia="en-US"/>
        </w:rPr>
        <w:t xml:space="preserve">other intellectual property; </w:t>
      </w:r>
      <w:r w:rsidR="007C0BEB" w:rsidRPr="007C0BEB">
        <w:rPr>
          <w:lang w:val="en-GB" w:eastAsia="en-US"/>
        </w:rPr>
        <w:t>3</w:t>
      </w:r>
      <w:r w:rsidR="00FF16B9" w:rsidRPr="00CA6D13">
        <w:rPr>
          <w:lang w:val="en-GB" w:eastAsia="en-US"/>
        </w:rPr>
        <w:t>) a  transfer  of  the</w:t>
      </w:r>
      <w:r w:rsidR="007C0BEB" w:rsidRPr="007C0BEB">
        <w:rPr>
          <w:lang w:val="en-GB" w:eastAsia="en-US"/>
        </w:rPr>
        <w:t xml:space="preserve"> </w:t>
      </w:r>
      <w:r w:rsidR="00FF16B9" w:rsidRPr="00CA6D13">
        <w:rPr>
          <w:lang w:val="en-GB" w:eastAsia="en-US"/>
        </w:rPr>
        <w:t>beneficial interest in a trust</w:t>
      </w:r>
      <w:r w:rsidR="007C0BEB" w:rsidRPr="007C0BEB">
        <w:rPr>
          <w:lang w:val="en-GB" w:eastAsia="en-US"/>
        </w:rPr>
        <w:t>.</w:t>
      </w:r>
      <w:r w:rsidR="007C0BEB" w:rsidRPr="007C0BEB">
        <w:rPr>
          <w:rStyle w:val="FootnoteReference"/>
          <w:color w:val="000000"/>
        </w:rPr>
        <w:t xml:space="preserve"> </w:t>
      </w:r>
      <w:r w:rsidR="007C0BEB" w:rsidRPr="007C0BEB">
        <w:rPr>
          <w:rStyle w:val="FootnoteReference"/>
          <w:color w:val="000000"/>
        </w:rPr>
        <w:footnoteReference w:id="160"/>
      </w:r>
      <w:r w:rsidR="007C0BEB" w:rsidRPr="00CA6D13">
        <w:rPr>
          <w:rFonts w:ascii="Times" w:hAnsi="Times"/>
          <w:lang w:val="en-GB" w:eastAsia="en-US"/>
        </w:rPr>
        <w:t xml:space="preserve"> Any foreign income remitted to Malta is taxed at a flat rate of 15%.</w:t>
      </w:r>
    </w:p>
    <w:p w14:paraId="605D9C33" w14:textId="0CDD95EE" w:rsidR="00AA4E8C" w:rsidRDefault="00AA4E8C" w:rsidP="0069748F">
      <w:pPr>
        <w:pStyle w:val="MBT"/>
        <w:rPr>
          <w:rFonts w:ascii="Times" w:hAnsi="Times"/>
          <w:lang w:val="en-GB" w:eastAsia="en-US"/>
        </w:rPr>
      </w:pPr>
    </w:p>
    <w:p w14:paraId="3C6D887C" w14:textId="5FBDCBE0" w:rsidR="000C5989" w:rsidRPr="001054ED" w:rsidRDefault="00FA5334" w:rsidP="0069748F">
      <w:pPr>
        <w:pStyle w:val="MBT"/>
        <w:rPr>
          <w:rFonts w:ascii="Times" w:hAnsi="Times"/>
          <w:lang w:val="en-GB" w:eastAsia="en-US"/>
        </w:rPr>
      </w:pPr>
      <w:r w:rsidRPr="009736BF">
        <w:rPr>
          <w:rFonts w:ascii="Times" w:hAnsi="Times"/>
          <w:lang w:val="en-GB" w:eastAsia="en-US"/>
        </w:rPr>
        <w:t xml:space="preserve">No benefits additional to those mentioned in points 1 and 2 of this Section apply </w:t>
      </w:r>
      <w:r w:rsidR="001054ED">
        <w:rPr>
          <w:rFonts w:ascii="Times" w:hAnsi="Times"/>
          <w:lang w:val="en-GB" w:eastAsia="en-US"/>
        </w:rPr>
        <w:t>for</w:t>
      </w:r>
      <w:r w:rsidRPr="009736BF">
        <w:rPr>
          <w:rFonts w:ascii="Times" w:hAnsi="Times"/>
          <w:lang w:val="en-GB" w:eastAsia="en-US"/>
        </w:rPr>
        <w:t xml:space="preserve"> </w:t>
      </w:r>
      <w:r w:rsidRPr="009736BF">
        <w:rPr>
          <w:rFonts w:ascii="Times" w:hAnsi="Times"/>
          <w:b/>
          <w:lang w:val="en-GB" w:eastAsia="en-US"/>
        </w:rPr>
        <w:t>GRP beneficiaries</w:t>
      </w:r>
      <w:r w:rsidRPr="009736BF">
        <w:rPr>
          <w:rFonts w:ascii="Times" w:hAnsi="Times"/>
          <w:lang w:val="en-GB" w:eastAsia="en-US"/>
        </w:rPr>
        <w:t>.</w:t>
      </w:r>
    </w:p>
    <w:p w14:paraId="4952AD73" w14:textId="77777777" w:rsidR="00B311A7" w:rsidRPr="00A35294" w:rsidRDefault="00B311A7" w:rsidP="00DC2491">
      <w:pPr>
        <w:pStyle w:val="MH1nonumb"/>
        <w:numPr>
          <w:ilvl w:val="0"/>
          <w:numId w:val="10"/>
        </w:numPr>
        <w:spacing w:after="0"/>
        <w:ind w:left="426" w:hanging="284"/>
      </w:pPr>
      <w:bookmarkStart w:id="33" w:name="_Toc496025540"/>
      <w:bookmarkStart w:id="34" w:name="_Toc517765948"/>
      <w:r w:rsidRPr="00A35294">
        <w:lastRenderedPageBreak/>
        <w:t>INTERACTION BETWEEN RESIDENCE AND CITIZENSHIP SCHEMES</w:t>
      </w:r>
      <w:bookmarkEnd w:id="33"/>
      <w:bookmarkEnd w:id="34"/>
    </w:p>
    <w:p w14:paraId="143CD109" w14:textId="77777777" w:rsidR="00E92463" w:rsidRPr="00A35294" w:rsidRDefault="00E92463" w:rsidP="00DC2491">
      <w:pPr>
        <w:pStyle w:val="MBT"/>
        <w:rPr>
          <w:color w:val="FF0000"/>
          <w:lang w:val="en-GB"/>
        </w:rPr>
      </w:pPr>
    </w:p>
    <w:p w14:paraId="0D9FD28A" w14:textId="77777777" w:rsidR="00B17995" w:rsidRPr="00A35294" w:rsidRDefault="00B17995" w:rsidP="00DC2491">
      <w:pPr>
        <w:pStyle w:val="MBT"/>
        <w:rPr>
          <w:lang w:val="en-GB"/>
        </w:rPr>
      </w:pPr>
    </w:p>
    <w:p w14:paraId="0523C0FB" w14:textId="77777777" w:rsidR="001E6FFD" w:rsidRPr="00A35294" w:rsidRDefault="001E6FFD" w:rsidP="001E6FFD">
      <w:pPr>
        <w:pStyle w:val="MBT"/>
        <w:rPr>
          <w:lang w:val="en-GB"/>
        </w:rPr>
      </w:pPr>
      <w:r w:rsidRPr="00A35294">
        <w:rPr>
          <w:lang w:eastAsia="en-GB"/>
        </w:rPr>
        <w:t xml:space="preserve">MRVP targets applicants who are interested in residence </w:t>
      </w:r>
      <w:r w:rsidRPr="00A35294">
        <w:rPr>
          <w:lang w:val="en-GB"/>
        </w:rPr>
        <w:t>rights and not in citizenship. Such applicants commonly come from countries that do not accept dual citizenship, e.g. China.</w:t>
      </w:r>
      <w:r w:rsidRPr="00A35294">
        <w:rPr>
          <w:rStyle w:val="FootnoteReference"/>
          <w:lang w:eastAsia="en-GB"/>
        </w:rPr>
        <w:footnoteReference w:id="161"/>
      </w:r>
      <w:r w:rsidRPr="00A35294">
        <w:rPr>
          <w:lang w:eastAsia="en-GB"/>
        </w:rPr>
        <w:t xml:space="preserve"> </w:t>
      </w:r>
      <w:r w:rsidRPr="00A35294">
        <w:rPr>
          <w:lang w:val="en-GB"/>
        </w:rPr>
        <w:t xml:space="preserve"> </w:t>
      </w:r>
    </w:p>
    <w:p w14:paraId="7F765D4E" w14:textId="77777777" w:rsidR="001E6FFD" w:rsidRPr="00A35294" w:rsidRDefault="001E6FFD" w:rsidP="006C0CCF">
      <w:pPr>
        <w:pStyle w:val="MBT"/>
        <w:rPr>
          <w:lang w:val="en-GB"/>
        </w:rPr>
      </w:pPr>
    </w:p>
    <w:p w14:paraId="3733803D" w14:textId="1826B2D6" w:rsidR="006C0CCF" w:rsidRPr="00A35294" w:rsidRDefault="00E92463" w:rsidP="006C0CCF">
      <w:pPr>
        <w:pStyle w:val="MBT"/>
        <w:rPr>
          <w:lang w:val="en-GB"/>
        </w:rPr>
      </w:pPr>
      <w:r w:rsidRPr="00A35294">
        <w:rPr>
          <w:lang w:val="en-GB"/>
        </w:rPr>
        <w:t>Given that the requirement for ordinary naturalisation in Malta is five years, the MRVP alone does not suffice for attaining citizenship</w:t>
      </w:r>
      <w:r w:rsidR="006C0CCF" w:rsidRPr="00A35294">
        <w:rPr>
          <w:lang w:val="en-GB"/>
        </w:rPr>
        <w:t xml:space="preserve"> under the ordinary naturalisation procedure</w:t>
      </w:r>
      <w:r w:rsidRPr="00A35294">
        <w:rPr>
          <w:lang w:val="en-GB"/>
        </w:rPr>
        <w:t>.</w:t>
      </w:r>
      <w:r w:rsidRPr="00A35294">
        <w:rPr>
          <w:rStyle w:val="FootnoteReference"/>
          <w:lang w:val="en-GB"/>
        </w:rPr>
        <w:footnoteReference w:id="162"/>
      </w:r>
      <w:r w:rsidR="006C0CCF" w:rsidRPr="00A35294">
        <w:rPr>
          <w:lang w:val="en-GB"/>
        </w:rPr>
        <w:t xml:space="preserve"> The status of an MRVP beneficiary is terminated when the </w:t>
      </w:r>
      <w:r w:rsidR="007A698D" w:rsidRPr="00A35294">
        <w:rPr>
          <w:lang w:val="en-GB"/>
        </w:rPr>
        <w:t xml:space="preserve">beneficiary no longer meets the MRVP requirements. This includes cases where the termination of status occurs because </w:t>
      </w:r>
      <w:proofErr w:type="gramStart"/>
      <w:r w:rsidR="007A698D" w:rsidRPr="00A35294">
        <w:rPr>
          <w:lang w:val="en-GB"/>
        </w:rPr>
        <w:t xml:space="preserve">the </w:t>
      </w:r>
      <w:r w:rsidR="006C0CCF" w:rsidRPr="00A35294">
        <w:rPr>
          <w:lang w:val="en-GB"/>
        </w:rPr>
        <w:t xml:space="preserve"> </w:t>
      </w:r>
      <w:r w:rsidR="007A698D" w:rsidRPr="00A35294">
        <w:rPr>
          <w:lang w:val="en-GB"/>
        </w:rPr>
        <w:t>beneficiary</w:t>
      </w:r>
      <w:proofErr w:type="gramEnd"/>
      <w:r w:rsidR="007A698D" w:rsidRPr="00A35294">
        <w:rPr>
          <w:lang w:val="en-GB"/>
        </w:rPr>
        <w:t xml:space="preserve"> becomes</w:t>
      </w:r>
      <w:r w:rsidR="001A5455" w:rsidRPr="00A35294">
        <w:rPr>
          <w:lang w:val="en-GB"/>
        </w:rPr>
        <w:t xml:space="preserve"> </w:t>
      </w:r>
      <w:r w:rsidR="00715FDA" w:rsidRPr="00A35294">
        <w:rPr>
          <w:lang w:val="en-GB"/>
        </w:rPr>
        <w:t>a Maltese, EEA or Swiss national</w:t>
      </w:r>
      <w:r w:rsidR="001A5455" w:rsidRPr="00A35294">
        <w:rPr>
          <w:lang w:val="en-GB"/>
        </w:rPr>
        <w:t xml:space="preserve"> or </w:t>
      </w:r>
      <w:r w:rsidR="006204DB" w:rsidRPr="00A35294">
        <w:rPr>
          <w:lang w:val="en-GB"/>
        </w:rPr>
        <w:t>because a</w:t>
      </w:r>
      <w:r w:rsidR="006C0CCF" w:rsidRPr="00A35294">
        <w:rPr>
          <w:lang w:val="en-GB"/>
        </w:rPr>
        <w:t xml:space="preserve">n extended period of legal and continuous residence in Malta </w:t>
      </w:r>
      <w:r w:rsidR="00715FDA" w:rsidRPr="00A35294">
        <w:rPr>
          <w:lang w:val="en-GB"/>
        </w:rPr>
        <w:t>may lead</w:t>
      </w:r>
      <w:r w:rsidR="006C0CCF" w:rsidRPr="00A35294">
        <w:rPr>
          <w:lang w:val="en-GB"/>
        </w:rPr>
        <w:t xml:space="preserve"> the individual to acquiring a different status (</w:t>
      </w:r>
      <w:r w:rsidR="00715FDA" w:rsidRPr="00A35294">
        <w:rPr>
          <w:lang w:val="en-GB"/>
        </w:rPr>
        <w:t xml:space="preserve">e.g. </w:t>
      </w:r>
      <w:r w:rsidR="006C0CCF" w:rsidRPr="00A35294">
        <w:rPr>
          <w:lang w:val="en-GB"/>
        </w:rPr>
        <w:t>long-term residence)</w:t>
      </w:r>
      <w:r w:rsidR="006204DB" w:rsidRPr="00A35294">
        <w:rPr>
          <w:lang w:val="en-GB"/>
        </w:rPr>
        <w:t>.</w:t>
      </w:r>
      <w:r w:rsidR="001E6FFD" w:rsidRPr="00A35294">
        <w:rPr>
          <w:rStyle w:val="FootnoteReference"/>
          <w:lang w:val="en-GB"/>
        </w:rPr>
        <w:footnoteReference w:id="163"/>
      </w:r>
      <w:r w:rsidR="006204DB" w:rsidRPr="00A35294">
        <w:rPr>
          <w:lang w:val="en-GB"/>
        </w:rPr>
        <w:t xml:space="preserve"> Hence the</w:t>
      </w:r>
      <w:r w:rsidR="007A698D" w:rsidRPr="00A35294">
        <w:rPr>
          <w:lang w:val="en-GB"/>
        </w:rPr>
        <w:t xml:space="preserve"> </w:t>
      </w:r>
      <w:r w:rsidR="001E6FFD" w:rsidRPr="00A35294">
        <w:rPr>
          <w:lang w:val="en-GB"/>
        </w:rPr>
        <w:t>beneficiary’s</w:t>
      </w:r>
      <w:r w:rsidR="006C0CCF" w:rsidRPr="00A35294">
        <w:rPr>
          <w:lang w:val="en-GB"/>
        </w:rPr>
        <w:t xml:space="preserve"> MRVP status</w:t>
      </w:r>
      <w:r w:rsidR="006204DB" w:rsidRPr="00A35294">
        <w:rPr>
          <w:lang w:val="en-GB"/>
        </w:rPr>
        <w:t xml:space="preserve"> is discontinued</w:t>
      </w:r>
      <w:r w:rsidR="006C0CCF" w:rsidRPr="00A35294">
        <w:rPr>
          <w:lang w:val="en-GB"/>
        </w:rPr>
        <w:t>. The newly acquired status</w:t>
      </w:r>
      <w:r w:rsidR="000C1F7A" w:rsidRPr="00A35294">
        <w:rPr>
          <w:lang w:val="en-GB"/>
        </w:rPr>
        <w:t>, along with lawful and continuous residence,</w:t>
      </w:r>
      <w:r w:rsidR="006C0CCF" w:rsidRPr="00A35294">
        <w:rPr>
          <w:lang w:val="en-GB"/>
        </w:rPr>
        <w:t xml:space="preserve"> could potentially complement </w:t>
      </w:r>
      <w:r w:rsidR="000C1F7A" w:rsidRPr="00A35294">
        <w:rPr>
          <w:lang w:val="en-GB"/>
        </w:rPr>
        <w:t xml:space="preserve">the length of time spent under MRVP for the purposes of ordinary naturalisation. </w:t>
      </w:r>
    </w:p>
    <w:p w14:paraId="52529840" w14:textId="77777777" w:rsidR="00A96DBB" w:rsidRPr="00A35294" w:rsidRDefault="00A96DBB" w:rsidP="00DC2491">
      <w:pPr>
        <w:pStyle w:val="MBT"/>
        <w:rPr>
          <w:lang w:val="en-GB"/>
        </w:rPr>
      </w:pPr>
    </w:p>
    <w:p w14:paraId="63A01FCA" w14:textId="1EF5AF63" w:rsidR="00A96DBB" w:rsidRPr="00A35294" w:rsidRDefault="00A96DBB" w:rsidP="00A96DBB">
      <w:pPr>
        <w:pStyle w:val="MBT"/>
        <w:rPr>
          <w:lang w:val="en-GB"/>
        </w:rPr>
      </w:pPr>
      <w:r w:rsidRPr="00A35294">
        <w:rPr>
          <w:lang w:val="en-GB"/>
        </w:rPr>
        <w:t xml:space="preserve">There is no formal link between the MRVP managed and administered by the MRVA and Malta’s Individual Investor Programme that is managed and administered by Identity Malta. </w:t>
      </w:r>
      <w:r w:rsidR="001E6FFD" w:rsidRPr="00A35294">
        <w:rPr>
          <w:lang w:val="en-GB"/>
        </w:rPr>
        <w:t>Beyond the fact that accredited agents can act for the purposes of both programmes,</w:t>
      </w:r>
      <w:r w:rsidR="001E6FFD" w:rsidRPr="00A35294">
        <w:rPr>
          <w:rStyle w:val="FootnoteReference"/>
          <w:lang w:eastAsia="en-GB"/>
        </w:rPr>
        <w:footnoteReference w:id="164"/>
      </w:r>
      <w:r w:rsidR="001E6FFD" w:rsidRPr="00A35294">
        <w:t xml:space="preserve"> t</w:t>
      </w:r>
      <w:r w:rsidRPr="00A35294">
        <w:rPr>
          <w:lang w:val="en-GB"/>
        </w:rPr>
        <w:t>he two programmes are completely separate and distinct. In practice</w:t>
      </w:r>
      <w:r w:rsidR="004F6D92" w:rsidRPr="00A35294">
        <w:rPr>
          <w:lang w:val="en-GB"/>
        </w:rPr>
        <w:t>,</w:t>
      </w:r>
      <w:r w:rsidRPr="00A35294">
        <w:rPr>
          <w:lang w:val="en-GB"/>
        </w:rPr>
        <w:t xml:space="preserve"> the qualifying investment of EUR 250,000 under the MRVP (see point 2 above) can be retained for the purposes of an application under the Individual Investor Programme described in Deliverable B1 for Malta.</w:t>
      </w:r>
      <w:r w:rsidRPr="00A35294">
        <w:rPr>
          <w:rStyle w:val="FootnoteReference"/>
          <w:lang w:val="en-GB"/>
        </w:rPr>
        <w:footnoteReference w:id="165"/>
      </w:r>
    </w:p>
    <w:p w14:paraId="783D2E89" w14:textId="77777777" w:rsidR="00E92463" w:rsidRPr="00A35294" w:rsidRDefault="00E92463" w:rsidP="00DC2491">
      <w:pPr>
        <w:pStyle w:val="MBT"/>
        <w:rPr>
          <w:lang w:val="en-GB"/>
        </w:rPr>
      </w:pPr>
    </w:p>
    <w:p w14:paraId="0664E61B" w14:textId="23FC0452" w:rsidR="008E29F0" w:rsidRPr="00A35294" w:rsidRDefault="00C31FA0" w:rsidP="00DC2491">
      <w:pPr>
        <w:pStyle w:val="MBT"/>
        <w:rPr>
          <w:lang w:val="en-GB"/>
        </w:rPr>
      </w:pPr>
      <w:r w:rsidRPr="00A35294">
        <w:rPr>
          <w:lang w:val="en-GB"/>
        </w:rPr>
        <w:t>Statistical data on the number or percentage of third country nationals who obtained citizenship on the basis of investors’ residence permits is not available</w:t>
      </w:r>
      <w:r w:rsidR="004C3816" w:rsidRPr="00A35294">
        <w:rPr>
          <w:lang w:val="en-GB"/>
        </w:rPr>
        <w:t xml:space="preserve"> as there is no </w:t>
      </w:r>
      <w:r w:rsidR="00775A6E" w:rsidRPr="00A35294">
        <w:rPr>
          <w:lang w:val="en-GB"/>
        </w:rPr>
        <w:t xml:space="preserve">such </w:t>
      </w:r>
      <w:r w:rsidR="004C3816" w:rsidRPr="00A35294">
        <w:rPr>
          <w:lang w:val="en-GB"/>
        </w:rPr>
        <w:t>l</w:t>
      </w:r>
      <w:r w:rsidR="00954734" w:rsidRPr="00A35294">
        <w:rPr>
          <w:lang w:val="en-GB"/>
        </w:rPr>
        <w:t>ink between the MRVP and the Individual Investor Programme.</w:t>
      </w:r>
      <w:r w:rsidR="00775A6E" w:rsidRPr="00A35294">
        <w:rPr>
          <w:lang w:val="en-GB"/>
        </w:rPr>
        <w:t xml:space="preserve"> </w:t>
      </w:r>
      <w:r w:rsidR="00A96DBB" w:rsidRPr="00A35294">
        <w:rPr>
          <w:lang w:val="en-GB"/>
        </w:rPr>
        <w:t>There are no cases</w:t>
      </w:r>
      <w:r w:rsidR="00775A6E" w:rsidRPr="00A35294">
        <w:rPr>
          <w:lang w:val="en-GB"/>
        </w:rPr>
        <w:t xml:space="preserve"> of MRVP beneficiaries who applied for the Individual Investor Programme.</w:t>
      </w:r>
      <w:r w:rsidR="00954734" w:rsidRPr="00A35294">
        <w:rPr>
          <w:rStyle w:val="FootnoteReference"/>
          <w:lang w:val="en-GB"/>
        </w:rPr>
        <w:footnoteReference w:id="166"/>
      </w:r>
    </w:p>
    <w:p w14:paraId="7623B54F" w14:textId="3A24CF55" w:rsidR="00C31FA0" w:rsidRDefault="00C31FA0" w:rsidP="00DC2491">
      <w:pPr>
        <w:pStyle w:val="MBT"/>
        <w:rPr>
          <w:lang w:val="en-GB"/>
        </w:rPr>
      </w:pPr>
    </w:p>
    <w:p w14:paraId="5AEC201F" w14:textId="28C8F8B4" w:rsidR="00A35294" w:rsidRPr="00523824" w:rsidRDefault="00A35294" w:rsidP="00A35294">
      <w:pPr>
        <w:pStyle w:val="MBT"/>
        <w:rPr>
          <w:lang w:val="en-GB"/>
        </w:rPr>
      </w:pPr>
      <w:r w:rsidRPr="00A35294">
        <w:rPr>
          <w:lang w:val="en-GB"/>
        </w:rPr>
        <w:t>Regulation 6 of LN 288/2015 and Regulation 4 of LN 47/2014 respectively stipulate that GRP beneficiaries can apply for the MRVP and the Individual Investor Programme subject to satisfying all the additional eligibility requirements</w:t>
      </w:r>
      <w:r w:rsidRPr="00A35294">
        <w:rPr>
          <w:rStyle w:val="FootnoteReference"/>
          <w:lang w:val="en-GB"/>
        </w:rPr>
        <w:footnoteReference w:id="167"/>
      </w:r>
      <w:r w:rsidRPr="00A35294">
        <w:rPr>
          <w:lang w:val="en-GB"/>
        </w:rPr>
        <w:t xml:space="preserve"> of the programme in question. There is no information as to how many GRP beneficiaries, if any, have applied or been granted citizenship under </w:t>
      </w:r>
      <w:r w:rsidR="00443D35">
        <w:rPr>
          <w:lang w:val="en-GB"/>
        </w:rPr>
        <w:t xml:space="preserve">the </w:t>
      </w:r>
      <w:r w:rsidRPr="00A35294">
        <w:rPr>
          <w:lang w:val="en-GB"/>
        </w:rPr>
        <w:t>Individual Investor Programme.</w:t>
      </w:r>
    </w:p>
    <w:p w14:paraId="3132BA95" w14:textId="77777777" w:rsidR="00A35294" w:rsidRPr="00A35294" w:rsidRDefault="00A35294" w:rsidP="00DC2491">
      <w:pPr>
        <w:pStyle w:val="MBT"/>
        <w:rPr>
          <w:lang w:val="en-GB"/>
        </w:rPr>
      </w:pPr>
    </w:p>
    <w:p w14:paraId="349E7CAA" w14:textId="122C9C29" w:rsidR="00B311A7" w:rsidRPr="00523824" w:rsidRDefault="00B311A7" w:rsidP="00DC2491">
      <w:pPr>
        <w:pStyle w:val="MH1nonumb"/>
        <w:numPr>
          <w:ilvl w:val="0"/>
          <w:numId w:val="10"/>
        </w:numPr>
        <w:spacing w:after="0"/>
        <w:ind w:left="426" w:hanging="284"/>
      </w:pPr>
      <w:bookmarkStart w:id="35" w:name="_Toc496025541"/>
      <w:bookmarkStart w:id="36" w:name="_Toc517765949"/>
      <w:r w:rsidRPr="00523824">
        <w:lastRenderedPageBreak/>
        <w:t xml:space="preserve">ECONOMIC AND FINANCIAL </w:t>
      </w:r>
      <w:r w:rsidRPr="00BF2E9C">
        <w:t>EFFICIENCY O</w:t>
      </w:r>
      <w:r w:rsidR="00DC2491" w:rsidRPr="00BF2E9C">
        <w:t>F</w:t>
      </w:r>
      <w:r w:rsidRPr="00BF2E9C">
        <w:t xml:space="preserve"> RESIDENCE PERMITS FOR FOREIGN INVESTORS</w:t>
      </w:r>
      <w:bookmarkEnd w:id="36"/>
      <w:r w:rsidRPr="00523824">
        <w:t xml:space="preserve"> </w:t>
      </w:r>
      <w:bookmarkStart w:id="37" w:name="_Hlk493698159"/>
      <w:r w:rsidRPr="00523824">
        <w:t xml:space="preserve"> </w:t>
      </w:r>
      <w:bookmarkEnd w:id="35"/>
      <w:bookmarkEnd w:id="37"/>
    </w:p>
    <w:p w14:paraId="1293EB14" w14:textId="77777777" w:rsidR="006A7B70" w:rsidRDefault="006A7B70" w:rsidP="00DC2491">
      <w:pPr>
        <w:pStyle w:val="MMultilevel"/>
        <w:numPr>
          <w:ilvl w:val="0"/>
          <w:numId w:val="0"/>
        </w:numPr>
      </w:pPr>
      <w:bookmarkStart w:id="38" w:name="_Hlk495949511"/>
    </w:p>
    <w:p w14:paraId="330AFE1D" w14:textId="71253760" w:rsidR="006A7B70" w:rsidRDefault="00A96DBB" w:rsidP="00CA6D13">
      <w:pPr>
        <w:pStyle w:val="MMultilevel"/>
        <w:numPr>
          <w:ilvl w:val="0"/>
          <w:numId w:val="0"/>
        </w:numPr>
        <w:tabs>
          <w:tab w:val="left" w:pos="709"/>
        </w:tabs>
      </w:pPr>
      <w:r>
        <w:t>There are no</w:t>
      </w:r>
      <w:r w:rsidR="006A7B70" w:rsidRPr="006A7B70">
        <w:t xml:space="preserve"> mechanism</w:t>
      </w:r>
      <w:r>
        <w:t>s in place</w:t>
      </w:r>
      <w:r w:rsidR="006A7B70" w:rsidRPr="006A7B70">
        <w:t xml:space="preserve"> to monitor the economic impact and financial revenues </w:t>
      </w:r>
      <w:r>
        <w:t xml:space="preserve">from </w:t>
      </w:r>
      <w:r w:rsidR="006A7B70" w:rsidRPr="006A7B70">
        <w:t>investors who have been granted residence.</w:t>
      </w:r>
    </w:p>
    <w:p w14:paraId="2CC63C66" w14:textId="77777777" w:rsidR="006A7B70" w:rsidRDefault="006A7B70" w:rsidP="00DC2491">
      <w:pPr>
        <w:pStyle w:val="MMultilevel"/>
        <w:numPr>
          <w:ilvl w:val="0"/>
          <w:numId w:val="0"/>
        </w:numPr>
        <w:tabs>
          <w:tab w:val="left" w:pos="709"/>
        </w:tabs>
      </w:pPr>
    </w:p>
    <w:p w14:paraId="760938A9" w14:textId="0548D148" w:rsidR="00E92463" w:rsidRDefault="009C6131" w:rsidP="00DC2491">
      <w:pPr>
        <w:pStyle w:val="MMultilevel"/>
        <w:numPr>
          <w:ilvl w:val="0"/>
          <w:numId w:val="0"/>
        </w:numPr>
        <w:tabs>
          <w:tab w:val="left" w:pos="709"/>
        </w:tabs>
      </w:pPr>
      <w:r>
        <w:t xml:space="preserve">There is no publicly available information that would allow a determination of whether the </w:t>
      </w:r>
      <w:r w:rsidR="00A74910">
        <w:t>MRVP and GRP</w:t>
      </w:r>
      <w:r>
        <w:t xml:space="preserve"> </w:t>
      </w:r>
      <w:r w:rsidR="00A74910">
        <w:t xml:space="preserve">have </w:t>
      </w:r>
      <w:r>
        <w:t xml:space="preserve">met the expectations for which </w:t>
      </w:r>
      <w:r w:rsidR="00A74910">
        <w:t>they were</w:t>
      </w:r>
      <w:r>
        <w:t xml:space="preserve"> created. </w:t>
      </w:r>
      <w:r w:rsidR="006A7B70">
        <w:t>There are no studies assessing the</w:t>
      </w:r>
      <w:r w:rsidR="00A74910">
        <w:t>ir</w:t>
      </w:r>
      <w:r w:rsidR="006A7B70">
        <w:t xml:space="preserve"> economic and financial efficiency. </w:t>
      </w:r>
    </w:p>
    <w:p w14:paraId="71DA6378" w14:textId="77777777" w:rsidR="00C42ACA" w:rsidRPr="00D5394E" w:rsidRDefault="00C42ACA" w:rsidP="00DC2491">
      <w:pPr>
        <w:pStyle w:val="MMultilevel"/>
        <w:numPr>
          <w:ilvl w:val="0"/>
          <w:numId w:val="0"/>
        </w:numPr>
        <w:tabs>
          <w:tab w:val="left" w:pos="709"/>
        </w:tabs>
      </w:pPr>
    </w:p>
    <w:p w14:paraId="54C143E8" w14:textId="55915FC4" w:rsidR="004E472A" w:rsidRPr="00443D35" w:rsidRDefault="007D16ED" w:rsidP="00A74910">
      <w:pPr>
        <w:jc w:val="both"/>
        <w:rPr>
          <w:sz w:val="22"/>
          <w:szCs w:val="22"/>
          <w:lang w:val="en-US"/>
        </w:rPr>
      </w:pPr>
      <w:r w:rsidRPr="00443D35">
        <w:rPr>
          <w:sz w:val="22"/>
          <w:szCs w:val="22"/>
          <w:lang w:val="en-US"/>
        </w:rPr>
        <w:t xml:space="preserve">The </w:t>
      </w:r>
      <w:r w:rsidRPr="00443D35">
        <w:rPr>
          <w:b/>
          <w:sz w:val="22"/>
          <w:szCs w:val="22"/>
          <w:lang w:val="en-US"/>
        </w:rPr>
        <w:t>financial disbursements required</w:t>
      </w:r>
      <w:r w:rsidRPr="00AE4200">
        <w:rPr>
          <w:sz w:val="22"/>
          <w:szCs w:val="22"/>
          <w:lang w:val="en-US"/>
        </w:rPr>
        <w:t xml:space="preserve"> for the purposes of the MRVP</w:t>
      </w:r>
      <w:r w:rsidR="00A74910" w:rsidRPr="00AE4200">
        <w:rPr>
          <w:sz w:val="22"/>
          <w:szCs w:val="22"/>
          <w:lang w:val="en-US"/>
        </w:rPr>
        <w:t xml:space="preserve"> and GRP</w:t>
      </w:r>
      <w:r w:rsidRPr="00AE4200">
        <w:rPr>
          <w:sz w:val="22"/>
          <w:szCs w:val="22"/>
          <w:lang w:val="en-US"/>
        </w:rPr>
        <w:t xml:space="preserve"> are described in detail in point 2 of Section II above</w:t>
      </w:r>
      <w:r w:rsidR="004E472A" w:rsidRPr="00443D35">
        <w:rPr>
          <w:sz w:val="22"/>
          <w:szCs w:val="22"/>
          <w:lang w:val="en-US"/>
        </w:rPr>
        <w:t xml:space="preserve"> and the examples provided there are repeated below:</w:t>
      </w:r>
    </w:p>
    <w:p w14:paraId="41A39EF9" w14:textId="77777777" w:rsidR="004E472A" w:rsidRPr="00443D35" w:rsidRDefault="004E472A" w:rsidP="00A74910">
      <w:pPr>
        <w:jc w:val="both"/>
        <w:rPr>
          <w:sz w:val="22"/>
          <w:szCs w:val="22"/>
          <w:lang w:val="en-US"/>
        </w:rPr>
      </w:pPr>
    </w:p>
    <w:p w14:paraId="3E33CB49" w14:textId="0057C5F0" w:rsidR="001834BA" w:rsidRPr="001834BA" w:rsidRDefault="00A74910" w:rsidP="00356C16">
      <w:pPr>
        <w:pStyle w:val="ListParagraph"/>
        <w:numPr>
          <w:ilvl w:val="0"/>
          <w:numId w:val="45"/>
        </w:numPr>
        <w:rPr>
          <w:bCs/>
          <w:szCs w:val="22"/>
        </w:rPr>
      </w:pPr>
      <w:r w:rsidRPr="00D5394E">
        <w:rPr>
          <w:bCs/>
          <w:szCs w:val="22"/>
        </w:rPr>
        <w:t xml:space="preserve">The </w:t>
      </w:r>
      <w:r w:rsidRPr="00443D35">
        <w:rPr>
          <w:bCs/>
          <w:szCs w:val="22"/>
        </w:rPr>
        <w:t>exact amount of money required to obtain the residence certificate</w:t>
      </w:r>
      <w:r w:rsidR="004E472A" w:rsidRPr="00443D35">
        <w:rPr>
          <w:bCs/>
          <w:szCs w:val="22"/>
        </w:rPr>
        <w:t xml:space="preserve"> </w:t>
      </w:r>
      <w:r w:rsidR="004E472A" w:rsidRPr="00D5394E">
        <w:rPr>
          <w:b/>
          <w:bCs/>
          <w:szCs w:val="22"/>
        </w:rPr>
        <w:t>under the MRVP</w:t>
      </w:r>
      <w:r w:rsidRPr="00900DB6">
        <w:rPr>
          <w:bCs/>
          <w:szCs w:val="22"/>
        </w:rPr>
        <w:t xml:space="preserve"> </w:t>
      </w:r>
      <w:r w:rsidRPr="00443D35">
        <w:rPr>
          <w:bCs/>
          <w:szCs w:val="22"/>
        </w:rPr>
        <w:t>depends on the specific circumstances</w:t>
      </w:r>
      <w:r w:rsidRPr="00D5394E">
        <w:rPr>
          <w:bCs/>
          <w:szCs w:val="22"/>
        </w:rPr>
        <w:t xml:space="preserve"> e.g. whether the application includes dependants or not and whether the qualifying property is owned or rented as well</w:t>
      </w:r>
      <w:r w:rsidRPr="004E472A">
        <w:rPr>
          <w:bCs/>
          <w:szCs w:val="22"/>
        </w:rPr>
        <w:t xml:space="preserve"> as the location of this property. By way of example, in the case of an application by a main applicant with a qualifying owned property in Malta and no dependants the total disbursement required would amount to EUR 600,000 (EUR 30,000 (contribution) + EUR 320,000 (property) + EUR 250,000 (investment)).</w:t>
      </w:r>
      <w:r w:rsidR="004E472A" w:rsidRPr="004E472A">
        <w:rPr>
          <w:bCs/>
          <w:szCs w:val="22"/>
        </w:rPr>
        <w:t xml:space="preserve"> </w:t>
      </w:r>
      <w:r w:rsidR="001834BA">
        <w:t>Taking this example,</w:t>
      </w:r>
      <w:r w:rsidR="00356C16">
        <w:t xml:space="preserve"> </w:t>
      </w:r>
      <w:r w:rsidR="001834BA">
        <w:t>and based on the</w:t>
      </w:r>
      <w:r w:rsidR="00356C16">
        <w:t xml:space="preserve"> 29 successful applications from </w:t>
      </w:r>
      <w:r w:rsidR="00356C16" w:rsidRPr="00FB2D83">
        <w:rPr>
          <w:b/>
        </w:rPr>
        <w:t xml:space="preserve">2016 </w:t>
      </w:r>
      <w:r w:rsidR="00356C16">
        <w:t xml:space="preserve">it is possible to state that this </w:t>
      </w:r>
      <w:r w:rsidR="00E70484">
        <w:t>entails a total expenditure</w:t>
      </w:r>
      <w:r w:rsidR="00356C16" w:rsidRPr="001834BA">
        <w:t xml:space="preserve"> of </w:t>
      </w:r>
      <w:r w:rsidR="00356C16" w:rsidRPr="00FB2D83">
        <w:rPr>
          <w:b/>
        </w:rPr>
        <w:t>EU</w:t>
      </w:r>
      <w:r w:rsidR="001834BA" w:rsidRPr="00FB2D83">
        <w:rPr>
          <w:b/>
        </w:rPr>
        <w:t>R 17,400,000</w:t>
      </w:r>
      <w:r w:rsidR="001834BA" w:rsidRPr="001834BA">
        <w:t xml:space="preserve"> broken down as follows: </w:t>
      </w:r>
    </w:p>
    <w:p w14:paraId="430DC747" w14:textId="663CFF27" w:rsidR="001834BA" w:rsidRPr="001834BA" w:rsidRDefault="00FB2D83" w:rsidP="00FB2D83">
      <w:pPr>
        <w:pStyle w:val="ListParagraph"/>
        <w:numPr>
          <w:ilvl w:val="1"/>
          <w:numId w:val="45"/>
        </w:numPr>
        <w:rPr>
          <w:bCs/>
          <w:szCs w:val="22"/>
          <w:lang w:val="fr-FR"/>
        </w:rPr>
      </w:pPr>
      <w:proofErr w:type="gramStart"/>
      <w:r>
        <w:rPr>
          <w:lang w:val="fr-FR"/>
        </w:rPr>
        <w:t>Contribution:</w:t>
      </w:r>
      <w:proofErr w:type="gramEnd"/>
      <w:r>
        <w:rPr>
          <w:lang w:val="fr-FR"/>
        </w:rPr>
        <w:t xml:space="preserve"> EUR</w:t>
      </w:r>
      <w:r w:rsidR="001834BA" w:rsidRPr="00FB2D83">
        <w:rPr>
          <w:bCs/>
          <w:szCs w:val="22"/>
          <w:lang w:val="fr-FR"/>
        </w:rPr>
        <w:t xml:space="preserve"> 30,000 x 29 </w:t>
      </w:r>
      <w:r w:rsidR="001834BA" w:rsidRPr="001834BA">
        <w:rPr>
          <w:bCs/>
          <w:szCs w:val="22"/>
          <w:lang w:val="fr-FR"/>
        </w:rPr>
        <w:t>= EUR 870,000</w:t>
      </w:r>
    </w:p>
    <w:p w14:paraId="59F287E0" w14:textId="5BBB9C79" w:rsidR="001834BA" w:rsidRPr="00FB2D83" w:rsidRDefault="001834BA" w:rsidP="00FB2D83">
      <w:pPr>
        <w:pStyle w:val="ListParagraph"/>
        <w:numPr>
          <w:ilvl w:val="1"/>
          <w:numId w:val="45"/>
        </w:numPr>
        <w:rPr>
          <w:bCs/>
          <w:szCs w:val="22"/>
        </w:rPr>
      </w:pPr>
      <w:r w:rsidRPr="00FB2D83">
        <w:rPr>
          <w:bCs/>
          <w:szCs w:val="22"/>
        </w:rPr>
        <w:t>Property: EUR 320,000 x 29 = EUR 9,280,000</w:t>
      </w:r>
    </w:p>
    <w:p w14:paraId="75DA52AA" w14:textId="339E7813" w:rsidR="001834BA" w:rsidRPr="001834BA" w:rsidRDefault="001834BA" w:rsidP="00FB2D83">
      <w:pPr>
        <w:pStyle w:val="ListParagraph"/>
        <w:numPr>
          <w:ilvl w:val="1"/>
          <w:numId w:val="45"/>
        </w:numPr>
        <w:rPr>
          <w:bCs/>
          <w:szCs w:val="22"/>
        </w:rPr>
      </w:pPr>
      <w:r w:rsidRPr="00FB2D83">
        <w:rPr>
          <w:bCs/>
          <w:szCs w:val="22"/>
        </w:rPr>
        <w:t>I</w:t>
      </w:r>
      <w:r w:rsidRPr="001834BA">
        <w:rPr>
          <w:bCs/>
          <w:szCs w:val="22"/>
        </w:rPr>
        <w:t xml:space="preserve">nvestment: EUR 250,000 x 29 </w:t>
      </w:r>
      <w:r w:rsidRPr="00FB2D83">
        <w:rPr>
          <w:bCs/>
          <w:szCs w:val="22"/>
        </w:rPr>
        <w:t>= EUR 7,250,000</w:t>
      </w:r>
    </w:p>
    <w:p w14:paraId="50A0DFF7" w14:textId="77777777" w:rsidR="001834BA" w:rsidRPr="001834BA" w:rsidRDefault="001834BA" w:rsidP="001834BA">
      <w:pPr>
        <w:pStyle w:val="ListParagraph"/>
      </w:pPr>
    </w:p>
    <w:p w14:paraId="4A10557B" w14:textId="4F00B6F6" w:rsidR="00356C16" w:rsidRPr="001834BA" w:rsidRDefault="001834BA" w:rsidP="001834BA">
      <w:pPr>
        <w:pStyle w:val="ListParagraph"/>
      </w:pPr>
      <w:r w:rsidRPr="001834BA">
        <w:t xml:space="preserve">The 83 successful applications from the </w:t>
      </w:r>
      <w:r w:rsidRPr="00FB2D83">
        <w:rPr>
          <w:b/>
        </w:rPr>
        <w:t xml:space="preserve">2017 </w:t>
      </w:r>
      <w:r w:rsidRPr="001834BA">
        <w:t xml:space="preserve">applications that have been considered to date </w:t>
      </w:r>
      <w:r w:rsidR="00894CB7">
        <w:t>entail</w:t>
      </w:r>
      <w:r w:rsidR="00E70484">
        <w:t xml:space="preserve"> a total expenditure</w:t>
      </w:r>
      <w:r w:rsidR="00E70484" w:rsidRPr="001834BA">
        <w:t xml:space="preserve"> </w:t>
      </w:r>
      <w:r w:rsidRPr="001834BA">
        <w:t xml:space="preserve">of </w:t>
      </w:r>
      <w:r w:rsidRPr="00FB2D83">
        <w:rPr>
          <w:b/>
        </w:rPr>
        <w:t>EUR 49,800,000</w:t>
      </w:r>
      <w:r w:rsidRPr="001834BA">
        <w:t xml:space="preserve"> broken down as follows:</w:t>
      </w:r>
    </w:p>
    <w:p w14:paraId="36B5D810" w14:textId="798181BF" w:rsidR="001834BA" w:rsidRPr="001834BA" w:rsidRDefault="001834BA" w:rsidP="001834BA">
      <w:pPr>
        <w:pStyle w:val="ListParagraph"/>
        <w:numPr>
          <w:ilvl w:val="1"/>
          <w:numId w:val="45"/>
        </w:numPr>
        <w:rPr>
          <w:bCs/>
          <w:szCs w:val="22"/>
          <w:lang w:val="fr-FR"/>
        </w:rPr>
      </w:pPr>
      <w:proofErr w:type="gramStart"/>
      <w:r w:rsidRPr="001834BA">
        <w:rPr>
          <w:lang w:val="fr-FR"/>
        </w:rPr>
        <w:t>Contribution:</w:t>
      </w:r>
      <w:proofErr w:type="gramEnd"/>
      <w:r w:rsidRPr="001834BA">
        <w:rPr>
          <w:lang w:val="fr-FR"/>
        </w:rPr>
        <w:t xml:space="preserve"> </w:t>
      </w:r>
      <w:r w:rsidRPr="00FB2D83">
        <w:rPr>
          <w:bCs/>
          <w:szCs w:val="22"/>
          <w:lang w:val="fr-FR"/>
        </w:rPr>
        <w:t>EUR 30,000</w:t>
      </w:r>
      <w:r w:rsidRPr="001834BA">
        <w:rPr>
          <w:bCs/>
          <w:szCs w:val="22"/>
          <w:lang w:val="fr-FR"/>
        </w:rPr>
        <w:t xml:space="preserve"> x 83 = EUR 2,490,000</w:t>
      </w:r>
    </w:p>
    <w:p w14:paraId="792EA3A4" w14:textId="13318047" w:rsidR="001834BA" w:rsidRPr="00FB2D83" w:rsidRDefault="001834BA" w:rsidP="001834BA">
      <w:pPr>
        <w:pStyle w:val="ListParagraph"/>
        <w:numPr>
          <w:ilvl w:val="1"/>
          <w:numId w:val="45"/>
        </w:numPr>
        <w:rPr>
          <w:bCs/>
          <w:szCs w:val="22"/>
        </w:rPr>
      </w:pPr>
      <w:r w:rsidRPr="00FB2D83">
        <w:rPr>
          <w:bCs/>
          <w:szCs w:val="22"/>
        </w:rPr>
        <w:t>Property: EUR 320,000 x 83 = EUR 26,560,000</w:t>
      </w:r>
    </w:p>
    <w:p w14:paraId="0D48D5E0" w14:textId="58D400B6" w:rsidR="001834BA" w:rsidRPr="00E23715" w:rsidRDefault="001834BA" w:rsidP="001834BA">
      <w:pPr>
        <w:pStyle w:val="ListParagraph"/>
        <w:numPr>
          <w:ilvl w:val="1"/>
          <w:numId w:val="45"/>
        </w:numPr>
        <w:rPr>
          <w:bCs/>
          <w:szCs w:val="22"/>
          <w:lang w:val="fr-FR"/>
        </w:rPr>
      </w:pPr>
      <w:proofErr w:type="gramStart"/>
      <w:r>
        <w:rPr>
          <w:bCs/>
          <w:szCs w:val="22"/>
          <w:lang w:val="fr-FR"/>
        </w:rPr>
        <w:t>I</w:t>
      </w:r>
      <w:r w:rsidRPr="00E23715">
        <w:rPr>
          <w:bCs/>
          <w:szCs w:val="22"/>
          <w:lang w:val="fr-FR"/>
        </w:rPr>
        <w:t>nvestment:</w:t>
      </w:r>
      <w:proofErr w:type="gramEnd"/>
      <w:r w:rsidRPr="00E23715">
        <w:rPr>
          <w:bCs/>
          <w:szCs w:val="22"/>
          <w:lang w:val="fr-FR"/>
        </w:rPr>
        <w:t xml:space="preserve"> EUR 250,000 x </w:t>
      </w:r>
      <w:r>
        <w:rPr>
          <w:bCs/>
          <w:szCs w:val="22"/>
          <w:lang w:val="fr-FR"/>
        </w:rPr>
        <w:t>83</w:t>
      </w:r>
      <w:r w:rsidRPr="00E23715">
        <w:rPr>
          <w:bCs/>
          <w:szCs w:val="22"/>
          <w:lang w:val="fr-FR"/>
        </w:rPr>
        <w:t xml:space="preserve"> </w:t>
      </w:r>
      <w:r>
        <w:rPr>
          <w:bCs/>
          <w:szCs w:val="22"/>
          <w:lang w:val="fr-FR"/>
        </w:rPr>
        <w:t>= EUR 20,750,000</w:t>
      </w:r>
    </w:p>
    <w:p w14:paraId="56F77319" w14:textId="77777777" w:rsidR="001834BA" w:rsidRPr="00356C16" w:rsidRDefault="001834BA" w:rsidP="001834BA">
      <w:pPr>
        <w:pStyle w:val="ListParagraph"/>
        <w:rPr>
          <w:bCs/>
          <w:szCs w:val="22"/>
        </w:rPr>
      </w:pPr>
    </w:p>
    <w:p w14:paraId="1C30FD70" w14:textId="24145CB3" w:rsidR="00A74910" w:rsidRPr="004E472A" w:rsidRDefault="004E472A" w:rsidP="00443D35">
      <w:pPr>
        <w:pStyle w:val="ListParagraph"/>
        <w:numPr>
          <w:ilvl w:val="0"/>
          <w:numId w:val="45"/>
        </w:numPr>
        <w:rPr>
          <w:bCs/>
          <w:szCs w:val="22"/>
        </w:rPr>
      </w:pPr>
      <w:r w:rsidRPr="004E472A">
        <w:rPr>
          <w:bCs/>
          <w:szCs w:val="22"/>
        </w:rPr>
        <w:t xml:space="preserve">The </w:t>
      </w:r>
      <w:r w:rsidRPr="00443D35">
        <w:rPr>
          <w:bCs/>
          <w:szCs w:val="22"/>
        </w:rPr>
        <w:t xml:space="preserve">exact amount of money required to obtain special tax status </w:t>
      </w:r>
      <w:r w:rsidRPr="00590578">
        <w:rPr>
          <w:b/>
          <w:bCs/>
          <w:szCs w:val="22"/>
        </w:rPr>
        <w:t>under the GRP</w:t>
      </w:r>
      <w:r w:rsidRPr="004E472A">
        <w:rPr>
          <w:bCs/>
          <w:szCs w:val="22"/>
        </w:rPr>
        <w:t xml:space="preserve"> also </w:t>
      </w:r>
      <w:r w:rsidRPr="00443D35">
        <w:rPr>
          <w:bCs/>
          <w:szCs w:val="22"/>
        </w:rPr>
        <w:t>depends on the specific circumstances</w:t>
      </w:r>
      <w:r w:rsidRPr="004E472A">
        <w:rPr>
          <w:bCs/>
          <w:szCs w:val="22"/>
        </w:rPr>
        <w:t xml:space="preserve"> namely, where the qualifying property is situated and whether it is a qualifying owned property or a qualifying rented property. By way of example, in the case of an application by a beneficiary with a qualifying owned property in Malta, the total disbursement required would amount to EUR 281,000 (EUR 275,000 (property) + EUR 6,000 (administrative fee)).</w:t>
      </w:r>
    </w:p>
    <w:p w14:paraId="20AE80CB" w14:textId="0932B160" w:rsidR="007D16ED" w:rsidRDefault="007D16ED" w:rsidP="007D16ED">
      <w:pPr>
        <w:pStyle w:val="MMultilevel"/>
        <w:numPr>
          <w:ilvl w:val="0"/>
          <w:numId w:val="0"/>
        </w:numPr>
        <w:tabs>
          <w:tab w:val="left" w:pos="709"/>
        </w:tabs>
      </w:pPr>
    </w:p>
    <w:p w14:paraId="6226E203" w14:textId="4EA93CB2" w:rsidR="00C42ACA" w:rsidRDefault="00F05C34" w:rsidP="00DC2491">
      <w:pPr>
        <w:pStyle w:val="MMultilevel"/>
        <w:numPr>
          <w:ilvl w:val="0"/>
          <w:numId w:val="0"/>
        </w:numPr>
        <w:tabs>
          <w:tab w:val="left" w:pos="709"/>
        </w:tabs>
      </w:pPr>
      <w:r>
        <w:t xml:space="preserve">The total amount of </w:t>
      </w:r>
      <w:r w:rsidRPr="00443D35">
        <w:rPr>
          <w:b/>
        </w:rPr>
        <w:t>funds collected through the MRVP</w:t>
      </w:r>
      <w:r>
        <w:t xml:space="preserve"> in 2016 amounted to </w:t>
      </w:r>
      <w:r w:rsidR="00CA6D13">
        <w:t xml:space="preserve">EUR </w:t>
      </w:r>
      <w:r>
        <w:rPr>
          <w:lang w:eastAsia="en-GB"/>
        </w:rPr>
        <w:t>521,000</w:t>
      </w:r>
      <w:r w:rsidR="00CA6D13">
        <w:rPr>
          <w:lang w:eastAsia="en-GB"/>
        </w:rPr>
        <w:t>;</w:t>
      </w:r>
      <w:r>
        <w:rPr>
          <w:lang w:eastAsia="en-GB"/>
        </w:rPr>
        <w:t xml:space="preserve"> in 2017</w:t>
      </w:r>
      <w:r w:rsidR="00CA6D13">
        <w:rPr>
          <w:lang w:eastAsia="en-GB"/>
        </w:rPr>
        <w:t>,</w:t>
      </w:r>
      <w:r>
        <w:rPr>
          <w:lang w:eastAsia="en-GB"/>
        </w:rPr>
        <w:t xml:space="preserve"> </w:t>
      </w:r>
      <w:r w:rsidR="00CA6D13">
        <w:rPr>
          <w:lang w:eastAsia="en-GB"/>
        </w:rPr>
        <w:t xml:space="preserve">EUR </w:t>
      </w:r>
      <w:r>
        <w:rPr>
          <w:lang w:eastAsia="en-GB"/>
        </w:rPr>
        <w:t>3,776,000 and in January 2018 (1 – 31 January</w:t>
      </w:r>
      <w:r w:rsidR="00CA6D13">
        <w:rPr>
          <w:lang w:eastAsia="en-GB"/>
        </w:rPr>
        <w:t xml:space="preserve">), EUR </w:t>
      </w:r>
      <w:r>
        <w:rPr>
          <w:lang w:eastAsia="en-GB"/>
        </w:rPr>
        <w:t xml:space="preserve">586,000. Hence from the start of the </w:t>
      </w:r>
      <w:proofErr w:type="spellStart"/>
      <w:r w:rsidR="00CA6D13">
        <w:rPr>
          <w:lang w:eastAsia="en-GB"/>
        </w:rPr>
        <w:t>programme</w:t>
      </w:r>
      <w:proofErr w:type="spellEnd"/>
      <w:r>
        <w:rPr>
          <w:lang w:eastAsia="en-GB"/>
        </w:rPr>
        <w:t xml:space="preserve"> to 31 January 2018 a total of </w:t>
      </w:r>
      <w:r w:rsidR="00CA6D13">
        <w:rPr>
          <w:lang w:eastAsia="en-GB"/>
        </w:rPr>
        <w:t xml:space="preserve">EUR </w:t>
      </w:r>
      <w:r>
        <w:rPr>
          <w:lang w:eastAsia="en-GB"/>
        </w:rPr>
        <w:t>4,883,000 ha</w:t>
      </w:r>
      <w:r w:rsidR="00CA6D13">
        <w:rPr>
          <w:lang w:eastAsia="en-GB"/>
        </w:rPr>
        <w:t>s</w:t>
      </w:r>
      <w:r>
        <w:rPr>
          <w:lang w:eastAsia="en-GB"/>
        </w:rPr>
        <w:t xml:space="preserve"> been collected.</w:t>
      </w:r>
      <w:r>
        <w:rPr>
          <w:rStyle w:val="FootnoteReference"/>
          <w:lang w:eastAsia="en-GB"/>
        </w:rPr>
        <w:footnoteReference w:id="168"/>
      </w:r>
      <w:r>
        <w:rPr>
          <w:lang w:eastAsia="en-GB"/>
        </w:rPr>
        <w:t xml:space="preserve"> </w:t>
      </w:r>
    </w:p>
    <w:p w14:paraId="05AEAC50" w14:textId="7D47E6E0" w:rsidR="00AE4200" w:rsidRDefault="00AE4200" w:rsidP="0031505E">
      <w:pPr>
        <w:pStyle w:val="MBT"/>
      </w:pPr>
    </w:p>
    <w:p w14:paraId="0CF2E8E1" w14:textId="55A713C7" w:rsidR="0031505E" w:rsidRDefault="001F4896" w:rsidP="0031505E">
      <w:pPr>
        <w:pStyle w:val="MBT"/>
        <w:rPr>
          <w:lang w:val="en-GB"/>
        </w:rPr>
      </w:pPr>
      <w:r>
        <w:t>Any net surplus of f</w:t>
      </w:r>
      <w:r w:rsidR="0031505E">
        <w:t>unds from the contribution are transferred to the Consolidated Fund</w:t>
      </w:r>
      <w:r w:rsidR="00CA6D13">
        <w:t xml:space="preserve"> (</w:t>
      </w:r>
      <w:r w:rsidR="00CA6D13">
        <w:rPr>
          <w:lang w:val="en-GB"/>
        </w:rPr>
        <w:t>established by Article 102 of the Constitution of Malta)</w:t>
      </w:r>
      <w:r>
        <w:t xml:space="preserve"> every quarter</w:t>
      </w:r>
      <w:r w:rsidR="00CA6D13">
        <w:t>.</w:t>
      </w:r>
      <w:r w:rsidR="0031505E">
        <w:rPr>
          <w:rStyle w:val="FootnoteReference"/>
        </w:rPr>
        <w:footnoteReference w:id="169"/>
      </w:r>
      <w:r w:rsidR="0031505E">
        <w:rPr>
          <w:lang w:val="en-GB"/>
        </w:rPr>
        <w:t xml:space="preserve"> All revenues and other moneys raised or received by Malta except for revenues or moneys payable into another fund established by law for a specific purpose are paid into the Consolidated Fund.</w:t>
      </w:r>
      <w:r w:rsidR="004E472A">
        <w:rPr>
          <w:rStyle w:val="FootnoteReference"/>
          <w:lang w:val="en-GB"/>
        </w:rPr>
        <w:footnoteReference w:id="170"/>
      </w:r>
      <w:r w:rsidR="0031505E">
        <w:rPr>
          <w:lang w:val="en-GB"/>
        </w:rPr>
        <w:t xml:space="preserve"> Withdrawals from the Consolidated Fund are typically limited to those necessary to meet expenditure as set out in the Constitution or another law or authorised by an Appropriation Act.</w:t>
      </w:r>
    </w:p>
    <w:p w14:paraId="5AC42157" w14:textId="58D5188F" w:rsidR="000473EF" w:rsidRDefault="000473EF" w:rsidP="00DC2491">
      <w:pPr>
        <w:pStyle w:val="MMultilevel"/>
        <w:numPr>
          <w:ilvl w:val="0"/>
          <w:numId w:val="0"/>
        </w:numPr>
        <w:ind w:left="425" w:hanging="425"/>
        <w:rPr>
          <w:lang w:val="en-GB"/>
        </w:rPr>
      </w:pPr>
    </w:p>
    <w:p w14:paraId="28F158F9" w14:textId="08729DC8" w:rsidR="00AA4E8C" w:rsidRDefault="00723BF6" w:rsidP="00443D35">
      <w:pPr>
        <w:pStyle w:val="MMultilevel"/>
        <w:numPr>
          <w:ilvl w:val="0"/>
          <w:numId w:val="0"/>
        </w:numPr>
      </w:pPr>
      <w:r>
        <w:rPr>
          <w:lang w:val="en-GB"/>
        </w:rPr>
        <w:t xml:space="preserve">As regards the </w:t>
      </w:r>
      <w:r w:rsidRPr="00443D35">
        <w:rPr>
          <w:b/>
          <w:lang w:val="en-GB"/>
        </w:rPr>
        <w:t>GRP</w:t>
      </w:r>
      <w:r>
        <w:rPr>
          <w:lang w:val="en-GB"/>
        </w:rPr>
        <w:t xml:space="preserve"> it is noted that the Press Release announcing the launch of the </w:t>
      </w:r>
      <w:r w:rsidR="006D7D65">
        <w:rPr>
          <w:lang w:val="en-GB"/>
        </w:rPr>
        <w:t xml:space="preserve">programme </w:t>
      </w:r>
      <w:r w:rsidR="007D16ED">
        <w:rPr>
          <w:lang w:val="en-GB"/>
        </w:rPr>
        <w:t xml:space="preserve">to </w:t>
      </w:r>
      <w:r w:rsidR="007D16ED">
        <w:rPr>
          <w:lang w:val="en-GB"/>
        </w:rPr>
        <w:lastRenderedPageBreak/>
        <w:t xml:space="preserve">stakeholders </w:t>
      </w:r>
      <w:r w:rsidR="006D7D65">
        <w:rPr>
          <w:lang w:val="en-GB"/>
        </w:rPr>
        <w:t xml:space="preserve">was </w:t>
      </w:r>
      <w:r>
        <w:rPr>
          <w:lang w:val="en-GB"/>
        </w:rPr>
        <w:t>accompanied by the caption ‘</w:t>
      </w:r>
      <w:r w:rsidRPr="00723BF6">
        <w:rPr>
          <w:b/>
        </w:rPr>
        <w:t xml:space="preserve">A </w:t>
      </w:r>
      <w:proofErr w:type="spellStart"/>
      <w:r w:rsidRPr="00723BF6">
        <w:rPr>
          <w:b/>
        </w:rPr>
        <w:t>Programme</w:t>
      </w:r>
      <w:proofErr w:type="spellEnd"/>
      <w:r w:rsidRPr="00723BF6">
        <w:rPr>
          <w:b/>
        </w:rPr>
        <w:t xml:space="preserve"> that will give a strong boost to various economic sectors of Malta​</w:t>
      </w:r>
      <w:r>
        <w:rPr>
          <w:b/>
        </w:rPr>
        <w:t>’</w:t>
      </w:r>
      <w:r w:rsidR="006D7D65">
        <w:t>.</w:t>
      </w:r>
      <w:r w:rsidR="006D7D65">
        <w:rPr>
          <w:rStyle w:val="FootnoteReference"/>
        </w:rPr>
        <w:footnoteReference w:id="171"/>
      </w:r>
      <w:r w:rsidR="006D7D65">
        <w:t xml:space="preserve"> The Minister responsible for the economy stated that the GRP </w:t>
      </w:r>
    </w:p>
    <w:p w14:paraId="301BBB0D" w14:textId="77777777" w:rsidR="00443D35" w:rsidRDefault="00443D35" w:rsidP="00443D35">
      <w:pPr>
        <w:pStyle w:val="MMultilevel"/>
        <w:numPr>
          <w:ilvl w:val="0"/>
          <w:numId w:val="0"/>
        </w:numPr>
      </w:pPr>
    </w:p>
    <w:p w14:paraId="134C2355" w14:textId="5E817EFB" w:rsidR="006D7D65" w:rsidRDefault="006D7D65" w:rsidP="00443D35">
      <w:pPr>
        <w:pStyle w:val="MMultilevel"/>
        <w:numPr>
          <w:ilvl w:val="0"/>
          <w:numId w:val="0"/>
        </w:numPr>
        <w:ind w:left="425"/>
      </w:pPr>
      <w:r>
        <w:t xml:space="preserve">‘gives a strong boost to various economic sectors leading to Economic Growth. </w:t>
      </w:r>
      <w:r w:rsidRPr="006D7D65">
        <w:t xml:space="preserve"> The Global Residence </w:t>
      </w:r>
      <w:proofErr w:type="spellStart"/>
      <w:r w:rsidRPr="006D7D65">
        <w:t>Programme</w:t>
      </w:r>
      <w:proofErr w:type="spellEnd"/>
      <w:r w:rsidRPr="006D7D65">
        <w:t xml:space="preserve"> will be revitalizing the property sector by increase property purchase in our country, especially that of a certain value, allowing the country to get more money in taxes, increasing work, even to professionals in this sector such as lawyers and tax consultants and it will also help the Financial Services industry, the leisure and hospitality industry.</w:t>
      </w:r>
      <w:r>
        <w:t>’</w:t>
      </w:r>
      <w:r>
        <w:rPr>
          <w:rStyle w:val="FootnoteReference"/>
        </w:rPr>
        <w:footnoteReference w:id="172"/>
      </w:r>
    </w:p>
    <w:p w14:paraId="6605EDC7" w14:textId="0C7FCBA7" w:rsidR="006D7D65" w:rsidRDefault="006D7D65" w:rsidP="00443D35">
      <w:pPr>
        <w:pStyle w:val="MMultilevel"/>
        <w:numPr>
          <w:ilvl w:val="0"/>
          <w:numId w:val="0"/>
        </w:numPr>
        <w:ind w:left="425" w:hanging="425"/>
      </w:pPr>
    </w:p>
    <w:p w14:paraId="1DB48FC6" w14:textId="21206000" w:rsidR="006D7D65" w:rsidRDefault="006D7D65" w:rsidP="00443D35">
      <w:pPr>
        <w:pStyle w:val="MMultilevel"/>
        <w:numPr>
          <w:ilvl w:val="0"/>
          <w:numId w:val="0"/>
        </w:numPr>
      </w:pPr>
      <w:r>
        <w:t>The GRP was also presented as a</w:t>
      </w:r>
      <w:r w:rsidR="004E472A">
        <w:t xml:space="preserve"> </w:t>
      </w:r>
      <w:proofErr w:type="spellStart"/>
      <w:r w:rsidR="004E472A">
        <w:t>programme</w:t>
      </w:r>
      <w:proofErr w:type="spellEnd"/>
      <w:r w:rsidR="004E472A">
        <w:t xml:space="preserve"> that would </w:t>
      </w:r>
      <w:proofErr w:type="spellStart"/>
      <w:r w:rsidR="004E472A">
        <w:t>incentivis</w:t>
      </w:r>
      <w:r>
        <w:t>e</w:t>
      </w:r>
      <w:proofErr w:type="spellEnd"/>
      <w:r>
        <w:t xml:space="preserve"> investments in the south of Malta and </w:t>
      </w:r>
      <w:proofErr w:type="spellStart"/>
      <w:r>
        <w:t>Gozo</w:t>
      </w:r>
      <w:proofErr w:type="spellEnd"/>
      <w:r>
        <w:t>. This is done by setting lower thresholds in relation to the cost of the qualifying property and a lower administrative fee</w:t>
      </w:r>
      <w:r w:rsidR="007D16ED">
        <w:t xml:space="preserve"> (see point 2 of Section II above)</w:t>
      </w:r>
      <w:r w:rsidR="00B90B81">
        <w:t xml:space="preserve"> and through promotional material.</w:t>
      </w:r>
      <w:r w:rsidR="00B90B81">
        <w:rPr>
          <w:rStyle w:val="FootnoteReference"/>
        </w:rPr>
        <w:footnoteReference w:id="173"/>
      </w:r>
    </w:p>
    <w:p w14:paraId="4350C231" w14:textId="5D11340A" w:rsidR="007D16ED" w:rsidRDefault="007D16ED" w:rsidP="00443D35">
      <w:pPr>
        <w:pStyle w:val="MMultilevel"/>
        <w:numPr>
          <w:ilvl w:val="0"/>
          <w:numId w:val="0"/>
        </w:numPr>
      </w:pPr>
    </w:p>
    <w:p w14:paraId="39D0D800" w14:textId="0EAB434E" w:rsidR="007D16ED" w:rsidRPr="006D7D65" w:rsidRDefault="007D16ED" w:rsidP="007D16ED">
      <w:pPr>
        <w:pStyle w:val="MMultilevel"/>
        <w:numPr>
          <w:ilvl w:val="0"/>
          <w:numId w:val="0"/>
        </w:numPr>
      </w:pPr>
      <w:r>
        <w:t xml:space="preserve">While there is </w:t>
      </w:r>
      <w:r w:rsidRPr="00FA5334">
        <w:rPr>
          <w:b/>
        </w:rPr>
        <w:t xml:space="preserve">no data on the </w:t>
      </w:r>
      <w:r w:rsidR="004E472A">
        <w:rPr>
          <w:b/>
        </w:rPr>
        <w:t xml:space="preserve">financial impact of </w:t>
      </w:r>
      <w:r w:rsidRPr="00FA5334">
        <w:rPr>
          <w:b/>
        </w:rPr>
        <w:t>the GRP</w:t>
      </w:r>
      <w:r>
        <w:t xml:space="preserve"> it is reasonable to assume that </w:t>
      </w:r>
      <w:r w:rsidR="004E472A">
        <w:t>it has</w:t>
      </w:r>
      <w:r>
        <w:t xml:space="preserve"> a considerable impact on the property market. Immovable property in Malta has steadily increased in price and presumably the GRP, MRVP and the Individual Invest</w:t>
      </w:r>
      <w:r w:rsidR="00B90B81">
        <w:t>or</w:t>
      </w:r>
      <w:r>
        <w:t xml:space="preserve"> </w:t>
      </w:r>
      <w:proofErr w:type="spellStart"/>
      <w:r>
        <w:t>Programme</w:t>
      </w:r>
      <w:proofErr w:type="spellEnd"/>
      <w:r w:rsidR="004E472A">
        <w:t xml:space="preserve"> (described in Deliverable BI)</w:t>
      </w:r>
      <w:r>
        <w:t xml:space="preserve"> are driving forces behind this.</w:t>
      </w:r>
      <w:r w:rsidR="00590578">
        <w:t xml:space="preserve"> These </w:t>
      </w:r>
      <w:proofErr w:type="spellStart"/>
      <w:r w:rsidR="00590578">
        <w:t>programmes</w:t>
      </w:r>
      <w:proofErr w:type="spellEnd"/>
      <w:r w:rsidR="00590578">
        <w:t xml:space="preserve"> also have an impact in terms of a revenue stream for </w:t>
      </w:r>
      <w:r w:rsidR="00FA6357">
        <w:t xml:space="preserve">real estate agents, </w:t>
      </w:r>
      <w:r w:rsidR="00590578">
        <w:t>lawyers, accountants and other non-public bodies that act as approved agents or mandatories of the applicants.</w:t>
      </w:r>
    </w:p>
    <w:bookmarkEnd w:id="38"/>
    <w:p w14:paraId="560E431A" w14:textId="561421D3" w:rsidR="00B22841" w:rsidRDefault="00B22841" w:rsidP="007F3C19">
      <w:pPr>
        <w:pStyle w:val="MBT"/>
        <w:rPr>
          <w:lang w:val="en-GB"/>
        </w:rPr>
      </w:pPr>
    </w:p>
    <w:p w14:paraId="5D628AC5" w14:textId="77777777" w:rsidR="00AE4200" w:rsidRDefault="00AE4200" w:rsidP="007F3C19">
      <w:pPr>
        <w:pStyle w:val="MBT"/>
        <w:rPr>
          <w:lang w:val="en-GB"/>
        </w:rPr>
      </w:pPr>
    </w:p>
    <w:p w14:paraId="78B946AE" w14:textId="77777777" w:rsidR="00B22841" w:rsidRDefault="00B22841" w:rsidP="007F3C19">
      <w:pPr>
        <w:pStyle w:val="MBT"/>
        <w:rPr>
          <w:lang w:val="en-GB"/>
        </w:rPr>
      </w:pPr>
    </w:p>
    <w:p w14:paraId="65113EA1" w14:textId="77777777" w:rsidR="00B22841" w:rsidRDefault="00B22841" w:rsidP="007F3C19">
      <w:pPr>
        <w:pStyle w:val="MBT"/>
        <w:rPr>
          <w:lang w:eastAsia="en-GB"/>
        </w:rPr>
      </w:pPr>
    </w:p>
    <w:p w14:paraId="12CF3634" w14:textId="77777777" w:rsidR="00B22841" w:rsidRDefault="00B22841" w:rsidP="007F3C19">
      <w:pPr>
        <w:pStyle w:val="MBT"/>
        <w:rPr>
          <w:lang w:val="en-GB"/>
        </w:rPr>
      </w:pPr>
    </w:p>
    <w:p w14:paraId="0FD1FC61" w14:textId="5564E307" w:rsidR="00F05C34" w:rsidRDefault="00F05C34" w:rsidP="007F3C19">
      <w:pPr>
        <w:pStyle w:val="MBT"/>
        <w:rPr>
          <w:lang w:val="en-GB"/>
        </w:rPr>
      </w:pPr>
    </w:p>
    <w:p w14:paraId="31193310" w14:textId="4AE885E1" w:rsidR="00293A4E" w:rsidRPr="00523824" w:rsidRDefault="00293A4E" w:rsidP="00333E0D">
      <w:pPr>
        <w:pStyle w:val="MBT"/>
        <w:rPr>
          <w:lang w:val="en-GB"/>
        </w:rPr>
      </w:pPr>
    </w:p>
    <w:sectPr w:rsidR="00293A4E" w:rsidRPr="00523824">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8EC161" w14:textId="77777777" w:rsidR="00581227" w:rsidRDefault="00581227">
      <w:r>
        <w:separator/>
      </w:r>
    </w:p>
  </w:endnote>
  <w:endnote w:type="continuationSeparator" w:id="0">
    <w:p w14:paraId="7694ED71" w14:textId="77777777" w:rsidR="00581227" w:rsidRDefault="005812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20B06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4227D2" w14:textId="77777777" w:rsidR="00894CB7" w:rsidRDefault="00894CB7">
    <w:pPr>
      <w:pStyle w:val="Footer"/>
      <w:rPr>
        <w:lang w:val="en-GB"/>
      </w:rPr>
    </w:pPr>
  </w:p>
  <w:tbl>
    <w:tblPr>
      <w:tblW w:w="0" w:type="auto"/>
      <w:tblBorders>
        <w:top w:val="single" w:sz="4" w:space="0" w:color="auto"/>
      </w:tblBorders>
      <w:tblLook w:val="01E0" w:firstRow="1" w:lastRow="1" w:firstColumn="1" w:lastColumn="1" w:noHBand="0" w:noVBand="0"/>
    </w:tblPr>
    <w:tblGrid>
      <w:gridCol w:w="2093"/>
      <w:gridCol w:w="7073"/>
    </w:tblGrid>
    <w:tr w:rsidR="00894CB7" w:rsidRPr="006B5ED7" w14:paraId="34EBEDF7" w14:textId="77777777" w:rsidTr="00A57A4A">
      <w:tc>
        <w:tcPr>
          <w:tcW w:w="2093" w:type="dxa"/>
        </w:tcPr>
        <w:p w14:paraId="5CFE8059" w14:textId="77777777" w:rsidR="00894CB7" w:rsidRPr="007E257E" w:rsidRDefault="00894CB7" w:rsidP="00A57A4A">
          <w:pPr>
            <w:pStyle w:val="Header"/>
            <w:ind w:right="360"/>
            <w:rPr>
              <w:i/>
              <w:sz w:val="18"/>
              <w:szCs w:val="18"/>
            </w:rPr>
          </w:pPr>
          <w:r w:rsidRPr="007E257E">
            <w:rPr>
              <w:i/>
              <w:sz w:val="18"/>
              <w:szCs w:val="18"/>
            </w:rPr>
            <w:t xml:space="preserve">Milieu Ltd </w:t>
          </w:r>
        </w:p>
        <w:p w14:paraId="2A8EC71A" w14:textId="77777777" w:rsidR="00894CB7" w:rsidRPr="007E257E" w:rsidRDefault="00894CB7" w:rsidP="00A57A4A">
          <w:pPr>
            <w:pStyle w:val="Header"/>
            <w:ind w:right="360"/>
            <w:rPr>
              <w:i/>
              <w:sz w:val="18"/>
              <w:szCs w:val="18"/>
            </w:rPr>
          </w:pPr>
          <w:r w:rsidRPr="007E257E">
            <w:rPr>
              <w:i/>
              <w:sz w:val="18"/>
              <w:szCs w:val="18"/>
            </w:rPr>
            <w:t xml:space="preserve">Brussels </w:t>
          </w:r>
        </w:p>
      </w:tc>
      <w:tc>
        <w:tcPr>
          <w:tcW w:w="7073" w:type="dxa"/>
        </w:tcPr>
        <w:p w14:paraId="4278F215" w14:textId="77777777" w:rsidR="00894CB7" w:rsidRPr="000C74BF" w:rsidRDefault="00894CB7" w:rsidP="00A57A4A">
          <w:pPr>
            <w:pStyle w:val="Header"/>
            <w:ind w:right="19"/>
            <w:jc w:val="right"/>
            <w:rPr>
              <w:i/>
              <w:sz w:val="18"/>
              <w:szCs w:val="18"/>
              <w:lang w:val="en-GB"/>
            </w:rPr>
          </w:pPr>
          <w:r w:rsidRPr="0034536F">
            <w:rPr>
              <w:i/>
              <w:sz w:val="18"/>
              <w:szCs w:val="18"/>
              <w:lang w:val="en-GB"/>
            </w:rPr>
            <w:t>Conformity Study Directive 2011/70/</w:t>
          </w:r>
          <w:proofErr w:type="gramStart"/>
          <w:r w:rsidRPr="0034536F">
            <w:rPr>
              <w:i/>
              <w:sz w:val="18"/>
              <w:szCs w:val="18"/>
              <w:lang w:val="en-GB"/>
            </w:rPr>
            <w:t>EURATOM  for</w:t>
          </w:r>
          <w:proofErr w:type="gramEnd"/>
          <w:r w:rsidRPr="0034536F">
            <w:rPr>
              <w:i/>
              <w:sz w:val="18"/>
              <w:szCs w:val="18"/>
              <w:lang w:val="en-GB"/>
            </w:rPr>
            <w:t xml:space="preserve"> </w:t>
          </w:r>
          <w:r w:rsidRPr="00B611C9">
            <w:rPr>
              <w:i/>
              <w:sz w:val="18"/>
              <w:szCs w:val="18"/>
              <w:highlight w:val="yellow"/>
              <w:lang w:val="en-GB"/>
            </w:rPr>
            <w:t>Country</w:t>
          </w:r>
          <w:r w:rsidRPr="00310B03">
            <w:rPr>
              <w:i/>
              <w:sz w:val="18"/>
              <w:szCs w:val="18"/>
              <w:highlight w:val="yellow"/>
              <w:lang w:val="en-GB"/>
            </w:rPr>
            <w:t xml:space="preserve">, </w:t>
          </w:r>
          <w:r>
            <w:rPr>
              <w:i/>
              <w:sz w:val="18"/>
              <w:szCs w:val="18"/>
              <w:highlight w:val="yellow"/>
              <w:lang w:val="en-GB"/>
            </w:rPr>
            <w:t>Month 2014</w:t>
          </w:r>
          <w:r w:rsidRPr="00310B03">
            <w:rPr>
              <w:i/>
              <w:sz w:val="18"/>
              <w:szCs w:val="18"/>
              <w:highlight w:val="yellow"/>
              <w:lang w:val="en-GB"/>
            </w:rPr>
            <w:t xml:space="preserve"> / </w:t>
          </w:r>
          <w:r w:rsidRPr="00310B03">
            <w:rPr>
              <w:rStyle w:val="PageNumber"/>
              <w:sz w:val="18"/>
              <w:szCs w:val="18"/>
              <w:highlight w:val="yellow"/>
            </w:rPr>
            <w:fldChar w:fldCharType="begin"/>
          </w:r>
          <w:r w:rsidRPr="00310B03">
            <w:rPr>
              <w:rStyle w:val="PageNumber"/>
              <w:sz w:val="18"/>
              <w:szCs w:val="18"/>
              <w:highlight w:val="yellow"/>
              <w:lang w:val="en-GB"/>
            </w:rPr>
            <w:instrText xml:space="preserve"> PAGE </w:instrText>
          </w:r>
          <w:r w:rsidRPr="00310B03">
            <w:rPr>
              <w:rStyle w:val="PageNumber"/>
              <w:sz w:val="18"/>
              <w:szCs w:val="18"/>
              <w:highlight w:val="yellow"/>
            </w:rPr>
            <w:fldChar w:fldCharType="separate"/>
          </w:r>
          <w:r>
            <w:rPr>
              <w:rStyle w:val="PageNumber"/>
              <w:noProof/>
              <w:sz w:val="18"/>
              <w:szCs w:val="18"/>
              <w:highlight w:val="yellow"/>
              <w:lang w:val="en-GB"/>
            </w:rPr>
            <w:t>9</w:t>
          </w:r>
          <w:r w:rsidRPr="00310B03">
            <w:rPr>
              <w:rStyle w:val="PageNumber"/>
              <w:sz w:val="18"/>
              <w:szCs w:val="18"/>
              <w:highlight w:val="yellow"/>
            </w:rPr>
            <w:fldChar w:fldCharType="end"/>
          </w:r>
        </w:p>
      </w:tc>
    </w:tr>
  </w:tbl>
  <w:p w14:paraId="5A14EA81" w14:textId="77777777" w:rsidR="00894CB7" w:rsidRPr="00EF3893" w:rsidRDefault="00894CB7">
    <w:pPr>
      <w:pStyle w:val="Footer"/>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5B70C6" w14:textId="77777777" w:rsidR="00894CB7" w:rsidRDefault="00894CB7" w:rsidP="00204BA5">
    <w:pPr>
      <w:pStyle w:val="Footer"/>
      <w:ind w:right="360"/>
    </w:pPr>
  </w:p>
  <w:tbl>
    <w:tblPr>
      <w:tblW w:w="5084" w:type="pct"/>
      <w:tblBorders>
        <w:top w:val="single" w:sz="4" w:space="0" w:color="auto"/>
      </w:tblBorders>
      <w:tblLook w:val="01E0" w:firstRow="1" w:lastRow="1" w:firstColumn="1" w:lastColumn="1" w:noHBand="0" w:noVBand="0"/>
    </w:tblPr>
    <w:tblGrid>
      <w:gridCol w:w="2320"/>
      <w:gridCol w:w="6858"/>
    </w:tblGrid>
    <w:tr w:rsidR="00894CB7" w:rsidRPr="006B5ED7" w14:paraId="457717F8" w14:textId="77777777" w:rsidTr="000C462C">
      <w:tc>
        <w:tcPr>
          <w:tcW w:w="1264" w:type="pct"/>
        </w:tcPr>
        <w:p w14:paraId="2F80F97D" w14:textId="77777777" w:rsidR="00894CB7" w:rsidRPr="001D7DA5" w:rsidRDefault="00894CB7" w:rsidP="001C1E15">
          <w:pPr>
            <w:tabs>
              <w:tab w:val="left" w:pos="1212"/>
            </w:tabs>
            <w:ind w:right="360"/>
            <w:rPr>
              <w:i/>
              <w:sz w:val="18"/>
              <w:lang w:val="en-GB"/>
            </w:rPr>
          </w:pPr>
          <w:r>
            <w:rPr>
              <w:i/>
              <w:sz w:val="18"/>
              <w:lang w:val="en-GB"/>
            </w:rPr>
            <w:t xml:space="preserve">Milieu Ltd </w:t>
          </w:r>
        </w:p>
        <w:p w14:paraId="01F0084E" w14:textId="3A931518" w:rsidR="00894CB7" w:rsidRPr="001D7DA5" w:rsidRDefault="00894CB7" w:rsidP="000C462C">
          <w:pPr>
            <w:tabs>
              <w:tab w:val="center" w:pos="4153"/>
              <w:tab w:val="right" w:pos="8306"/>
            </w:tabs>
            <w:ind w:right="360"/>
            <w:rPr>
              <w:i/>
              <w:sz w:val="18"/>
              <w:lang w:val="en-GB"/>
            </w:rPr>
          </w:pPr>
          <w:r w:rsidRPr="001D7DA5">
            <w:rPr>
              <w:i/>
              <w:sz w:val="18"/>
              <w:lang w:val="en-GB"/>
            </w:rPr>
            <w:t xml:space="preserve">Brussels, </w:t>
          </w:r>
          <w:r>
            <w:rPr>
              <w:i/>
              <w:sz w:val="18"/>
              <w:lang w:val="en-GB"/>
            </w:rPr>
            <w:t>March 2018</w:t>
          </w:r>
        </w:p>
      </w:tc>
      <w:tc>
        <w:tcPr>
          <w:tcW w:w="3736" w:type="pct"/>
        </w:tcPr>
        <w:p w14:paraId="707B4E48" w14:textId="087DD228" w:rsidR="00894CB7" w:rsidRPr="001D7DA5" w:rsidRDefault="00894CB7" w:rsidP="001C1E15">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Malta</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Pr>
              <w:i/>
              <w:noProof/>
              <w:sz w:val="18"/>
              <w:lang w:val="en-GB"/>
            </w:rPr>
            <w:t>17</w:t>
          </w:r>
          <w:r w:rsidRPr="001D7DA5">
            <w:rPr>
              <w:i/>
              <w:noProof/>
              <w:sz w:val="18"/>
            </w:rPr>
            <w:fldChar w:fldCharType="end"/>
          </w:r>
        </w:p>
      </w:tc>
    </w:tr>
  </w:tbl>
  <w:p w14:paraId="7185FE60" w14:textId="77777777" w:rsidR="00894CB7" w:rsidRPr="00B311A7" w:rsidRDefault="00894CB7" w:rsidP="00204BA5">
    <w:pPr>
      <w:pStyle w:val="Footer"/>
      <w:ind w:right="360"/>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B12C6" w14:textId="77777777" w:rsidR="00894CB7" w:rsidRDefault="00894CB7" w:rsidP="00204BA5">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894CB7" w:rsidRPr="006B5ED7" w14:paraId="19CF630F" w14:textId="77777777" w:rsidTr="00204BA5">
      <w:tc>
        <w:tcPr>
          <w:tcW w:w="1201" w:type="pct"/>
        </w:tcPr>
        <w:p w14:paraId="039C0FFF" w14:textId="77777777" w:rsidR="00894CB7" w:rsidRPr="001D7DA5" w:rsidRDefault="00894CB7" w:rsidP="001C1E15">
          <w:pPr>
            <w:tabs>
              <w:tab w:val="left" w:pos="1212"/>
            </w:tabs>
            <w:ind w:right="360"/>
            <w:rPr>
              <w:i/>
              <w:sz w:val="18"/>
              <w:lang w:val="en-GB"/>
            </w:rPr>
          </w:pPr>
          <w:r>
            <w:rPr>
              <w:i/>
              <w:sz w:val="18"/>
              <w:lang w:val="en-GB"/>
            </w:rPr>
            <w:t xml:space="preserve">Milieu Ltd </w:t>
          </w:r>
        </w:p>
        <w:p w14:paraId="151E69DA" w14:textId="7E4D8A78" w:rsidR="00894CB7" w:rsidRPr="001D7DA5" w:rsidRDefault="00894CB7" w:rsidP="00CE0FFD">
          <w:pPr>
            <w:tabs>
              <w:tab w:val="center" w:pos="4153"/>
              <w:tab w:val="right" w:pos="8306"/>
            </w:tabs>
            <w:ind w:right="360"/>
            <w:rPr>
              <w:i/>
              <w:sz w:val="18"/>
              <w:lang w:val="en-GB"/>
            </w:rPr>
          </w:pPr>
          <w:r w:rsidRPr="001D7DA5">
            <w:rPr>
              <w:i/>
              <w:sz w:val="18"/>
              <w:lang w:val="en-GB"/>
            </w:rPr>
            <w:t xml:space="preserve">Brussels, </w:t>
          </w:r>
          <w:r>
            <w:rPr>
              <w:i/>
              <w:sz w:val="18"/>
              <w:lang w:val="en-GB"/>
            </w:rPr>
            <w:t>March 2018</w:t>
          </w:r>
        </w:p>
      </w:tc>
      <w:tc>
        <w:tcPr>
          <w:tcW w:w="3799" w:type="pct"/>
        </w:tcPr>
        <w:p w14:paraId="4ACF9D39" w14:textId="7105583A" w:rsidR="00894CB7" w:rsidRPr="001D7DA5" w:rsidRDefault="00894CB7" w:rsidP="001C1E15">
          <w:pPr>
            <w:tabs>
              <w:tab w:val="center" w:pos="4153"/>
              <w:tab w:val="right" w:pos="8306"/>
            </w:tabs>
            <w:ind w:right="19"/>
            <w:jc w:val="right"/>
            <w:rPr>
              <w:i/>
              <w:sz w:val="18"/>
              <w:lang w:val="en-GB"/>
            </w:rPr>
          </w:pPr>
          <w:r w:rsidRPr="001D7DA5">
            <w:rPr>
              <w:i/>
              <w:sz w:val="18"/>
              <w:lang w:val="en-GB"/>
            </w:rPr>
            <w:t xml:space="preserve">Deliverable B.II – Investors’ Residence Schemes in </w:t>
          </w:r>
          <w:r>
            <w:rPr>
              <w:i/>
              <w:sz w:val="18"/>
              <w:lang w:val="en-GB"/>
            </w:rPr>
            <w:t>Malta</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Pr>
              <w:i/>
              <w:noProof/>
              <w:sz w:val="18"/>
              <w:lang w:val="en-GB"/>
            </w:rPr>
            <w:t>29</w:t>
          </w:r>
          <w:r w:rsidRPr="001D7DA5">
            <w:rPr>
              <w:i/>
              <w:noProof/>
              <w:sz w:val="18"/>
            </w:rPr>
            <w:fldChar w:fldCharType="end"/>
          </w:r>
        </w:p>
      </w:tc>
    </w:tr>
  </w:tbl>
  <w:p w14:paraId="4417F7A3" w14:textId="77777777" w:rsidR="00894CB7" w:rsidRPr="00B311A7" w:rsidRDefault="00894CB7" w:rsidP="00204BA5">
    <w:pPr>
      <w:pStyle w:val="Footer"/>
      <w:ind w:right="360"/>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85D55" w14:textId="77777777" w:rsidR="00894CB7" w:rsidRDefault="00894CB7" w:rsidP="00BD262D">
    <w:pPr>
      <w:pStyle w:val="Footer"/>
      <w:ind w:right="360"/>
      <w:rPr>
        <w:lang w:val="en-GB"/>
      </w:rPr>
    </w:pPr>
  </w:p>
  <w:tbl>
    <w:tblPr>
      <w:tblW w:w="5084" w:type="pct"/>
      <w:tblBorders>
        <w:top w:val="single" w:sz="4" w:space="0" w:color="auto"/>
      </w:tblBorders>
      <w:tblLook w:val="01E0" w:firstRow="1" w:lastRow="1" w:firstColumn="1" w:lastColumn="1" w:noHBand="0" w:noVBand="0"/>
    </w:tblPr>
    <w:tblGrid>
      <w:gridCol w:w="2320"/>
      <w:gridCol w:w="6858"/>
    </w:tblGrid>
    <w:tr w:rsidR="00894CB7" w:rsidRPr="006B5ED7" w14:paraId="086C7379" w14:textId="77777777" w:rsidTr="00DC2491">
      <w:tc>
        <w:tcPr>
          <w:tcW w:w="1264" w:type="pct"/>
        </w:tcPr>
        <w:p w14:paraId="4592EFDD" w14:textId="77777777" w:rsidR="00894CB7" w:rsidRPr="001D7DA5" w:rsidRDefault="00894CB7" w:rsidP="001C1E15">
          <w:pPr>
            <w:tabs>
              <w:tab w:val="left" w:pos="1212"/>
            </w:tabs>
            <w:ind w:right="360"/>
            <w:rPr>
              <w:i/>
              <w:sz w:val="18"/>
              <w:lang w:val="en-GB"/>
            </w:rPr>
          </w:pPr>
          <w:r>
            <w:rPr>
              <w:i/>
              <w:sz w:val="18"/>
              <w:lang w:val="en-GB"/>
            </w:rPr>
            <w:t xml:space="preserve">Milieu Ltd </w:t>
          </w:r>
        </w:p>
        <w:p w14:paraId="3108CC2D" w14:textId="1D3E2691" w:rsidR="00894CB7" w:rsidRPr="001D7DA5" w:rsidRDefault="00894CB7" w:rsidP="001C1E15">
          <w:pPr>
            <w:tabs>
              <w:tab w:val="center" w:pos="4153"/>
              <w:tab w:val="right" w:pos="8306"/>
            </w:tabs>
            <w:ind w:right="360"/>
            <w:rPr>
              <w:i/>
              <w:sz w:val="18"/>
              <w:lang w:val="en-GB"/>
            </w:rPr>
          </w:pPr>
          <w:r>
            <w:rPr>
              <w:i/>
              <w:sz w:val="18"/>
              <w:lang w:val="en-GB"/>
            </w:rPr>
            <w:t>Brussels, March 2018</w:t>
          </w:r>
        </w:p>
      </w:tc>
      <w:tc>
        <w:tcPr>
          <w:tcW w:w="3736" w:type="pct"/>
        </w:tcPr>
        <w:p w14:paraId="398D9A7D" w14:textId="4469AAB6" w:rsidR="00894CB7" w:rsidRPr="001D7DA5" w:rsidRDefault="00894CB7" w:rsidP="001C1E15">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Malta</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Pr>
              <w:i/>
              <w:noProof/>
              <w:sz w:val="18"/>
              <w:lang w:val="en-GB"/>
            </w:rPr>
            <w:t>30</w:t>
          </w:r>
          <w:r w:rsidRPr="001D7DA5">
            <w:rPr>
              <w:i/>
              <w:noProof/>
              <w:sz w:val="18"/>
            </w:rPr>
            <w:fldChar w:fldCharType="end"/>
          </w:r>
        </w:p>
      </w:tc>
    </w:tr>
  </w:tbl>
  <w:p w14:paraId="3639AC6E" w14:textId="77777777" w:rsidR="00894CB7" w:rsidRPr="00AC2EEB" w:rsidRDefault="00894CB7" w:rsidP="00BD262D">
    <w:pPr>
      <w:pStyle w:val="Footer"/>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EE60ED" w14:textId="77777777" w:rsidR="00581227" w:rsidRDefault="00581227">
      <w:r>
        <w:separator/>
      </w:r>
    </w:p>
  </w:footnote>
  <w:footnote w:type="continuationSeparator" w:id="0">
    <w:p w14:paraId="0B4A4F09" w14:textId="77777777" w:rsidR="00581227" w:rsidRDefault="00581227">
      <w:r>
        <w:continuationSeparator/>
      </w:r>
    </w:p>
  </w:footnote>
  <w:footnote w:id="1">
    <w:p w14:paraId="16CCC246" w14:textId="77777777" w:rsidR="00894CB7" w:rsidRPr="003D7C5D" w:rsidRDefault="00894CB7" w:rsidP="007974C6">
      <w:pPr>
        <w:pStyle w:val="FootnoteText"/>
        <w:rPr>
          <w:bCs/>
        </w:rPr>
      </w:pPr>
      <w:r>
        <w:rPr>
          <w:rStyle w:val="FootnoteReference"/>
        </w:rPr>
        <w:footnoteRef/>
      </w:r>
      <w:r>
        <w:t xml:space="preserve"> </w:t>
      </w:r>
      <w:r w:rsidRPr="003D7C5D">
        <w:rPr>
          <w:bCs/>
        </w:rPr>
        <w:t xml:space="preserve">Subsidiary Legislation 217.18, Malta Residence and Visa Programme Regulations, 25 August 2015. Legal Notice 288 of 2015, as amended by Legal Notice 189 of 2017: </w:t>
      </w:r>
      <w:hyperlink r:id="rId1" w:history="1">
        <w:r w:rsidRPr="003D7C5D">
          <w:rPr>
            <w:rStyle w:val="Hyperlink"/>
            <w:bCs/>
          </w:rPr>
          <w:t>http://www.justiceservices.gov.mt/DownloadDocument.aspx?app=lom&amp;itemid=12397&amp;l=1</w:t>
        </w:r>
      </w:hyperlink>
      <w:r w:rsidRPr="003D7C5D">
        <w:rPr>
          <w:bCs/>
        </w:rPr>
        <w:t xml:space="preserve"> </w:t>
      </w:r>
    </w:p>
  </w:footnote>
  <w:footnote w:id="2">
    <w:p w14:paraId="4845A762" w14:textId="77777777" w:rsidR="00894CB7" w:rsidRPr="003D7C5D" w:rsidRDefault="00894CB7" w:rsidP="007974C6">
      <w:pPr>
        <w:pStyle w:val="FootnoteText"/>
        <w:rPr>
          <w:lang w:val="en-US"/>
        </w:rPr>
      </w:pPr>
      <w:r>
        <w:rPr>
          <w:rStyle w:val="FootnoteReference"/>
        </w:rPr>
        <w:footnoteRef/>
      </w:r>
      <w:r>
        <w:t xml:space="preserve"> </w:t>
      </w:r>
      <w:r>
        <w:rPr>
          <w:lang w:val="en-US"/>
        </w:rPr>
        <w:t xml:space="preserve">Chapter 217 of the Laws of Malta, Immigration Act, 21 September 1970, Act IX of 1970 as last amended by Act XXXVI of 2015: </w:t>
      </w:r>
      <w:hyperlink r:id="rId2" w:history="1">
        <w:r w:rsidRPr="00054C86">
          <w:rPr>
            <w:rStyle w:val="Hyperlink"/>
            <w:lang w:val="en-US"/>
          </w:rPr>
          <w:t>http://www.justiceservices.gov.mt/DownloadDocument.aspx?app=lom&amp;itemid=8722&amp;l=1</w:t>
        </w:r>
      </w:hyperlink>
      <w:r>
        <w:rPr>
          <w:lang w:val="en-US"/>
        </w:rPr>
        <w:t xml:space="preserve"> </w:t>
      </w:r>
    </w:p>
  </w:footnote>
  <w:footnote w:id="3">
    <w:p w14:paraId="0A280E3E" w14:textId="33044904" w:rsidR="00894CB7" w:rsidRPr="00825CC1" w:rsidRDefault="00894CB7">
      <w:pPr>
        <w:pStyle w:val="FootnoteText"/>
        <w:rPr>
          <w:lang w:val="en-US"/>
        </w:rPr>
      </w:pPr>
      <w:r>
        <w:rPr>
          <w:rStyle w:val="FootnoteReference"/>
        </w:rPr>
        <w:footnoteRef/>
      </w:r>
      <w:r>
        <w:t xml:space="preserve"> Information obtained through stakeholder consultation with MRVA representative on 7 March 2018.</w:t>
      </w:r>
    </w:p>
  </w:footnote>
  <w:footnote w:id="4">
    <w:p w14:paraId="2EE4C7FC" w14:textId="77777777" w:rsidR="00894CB7" w:rsidRPr="001F38F2" w:rsidRDefault="00894CB7" w:rsidP="007A36A3">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3" w:history="1">
        <w:r w:rsidRPr="00FE7C4A">
          <w:rPr>
            <w:rStyle w:val="Hyperlink"/>
            <w:lang w:val="en-US"/>
          </w:rPr>
          <w:t>https://identitymalta.com/wp-content/uploads/2016/05/FAQ-V5.0.pdf</w:t>
        </w:r>
      </w:hyperlink>
    </w:p>
  </w:footnote>
  <w:footnote w:id="5">
    <w:p w14:paraId="772072A6" w14:textId="77777777" w:rsidR="00894CB7" w:rsidRPr="006364AD" w:rsidRDefault="00894CB7" w:rsidP="00A15182">
      <w:pPr>
        <w:pStyle w:val="FootnoteText"/>
        <w:rPr>
          <w:lang w:val="en-US"/>
        </w:rPr>
      </w:pPr>
      <w:r>
        <w:rPr>
          <w:rStyle w:val="FootnoteReference"/>
        </w:rPr>
        <w:footnoteRef/>
      </w:r>
      <w:r>
        <w:t xml:space="preserve"> </w:t>
      </w:r>
      <w:r w:rsidRPr="00317A98">
        <w:rPr>
          <w:bCs/>
        </w:rPr>
        <w:t xml:space="preserve">Subsidiary Legislation 123.148, Global Residence Programme Rules, 1 July 2013, Legal Notice 167 of 2013, as amended by Legal Notice 267 of 2014: </w:t>
      </w:r>
      <w:hyperlink r:id="rId4" w:history="1">
        <w:r w:rsidRPr="00317A98">
          <w:rPr>
            <w:rStyle w:val="Hyperlink"/>
            <w:bCs/>
          </w:rPr>
          <w:t>http://www.justiceservices.gov.mt/DownloadDocument.aspx?app=lom&amp;itemid=12062&amp;l=1</w:t>
        </w:r>
      </w:hyperlink>
    </w:p>
  </w:footnote>
  <w:footnote w:id="6">
    <w:p w14:paraId="162EC46C" w14:textId="0AACC48A" w:rsidR="00894CB7" w:rsidRDefault="00894CB7">
      <w:pPr>
        <w:pStyle w:val="FootnoteText"/>
      </w:pPr>
      <w:r>
        <w:rPr>
          <w:rStyle w:val="FootnoteReference"/>
        </w:rPr>
        <w:footnoteRef/>
      </w:r>
      <w:r>
        <w:t xml:space="preserve"> Chapter 123 of the Laws of Malta, Income Tax Act, 1 January 1949, Act LIV of 1949 as last amended by Act VII of 2018: </w:t>
      </w:r>
      <w:hyperlink r:id="rId5" w:history="1">
        <w:r w:rsidRPr="001F25ED">
          <w:rPr>
            <w:rStyle w:val="Hyperlink"/>
          </w:rPr>
          <w:t>http://www.justiceservices.gov.mt/DownloadDocument.aspx?app=lom&amp;itemid=8658&amp;l=1</w:t>
        </w:r>
      </w:hyperlink>
      <w:r>
        <w:t xml:space="preserve"> </w:t>
      </w:r>
    </w:p>
  </w:footnote>
  <w:footnote w:id="7">
    <w:p w14:paraId="0AB34B3B" w14:textId="7B1F570C" w:rsidR="00894CB7" w:rsidRDefault="00894CB7">
      <w:pPr>
        <w:pStyle w:val="FootnoteText"/>
      </w:pPr>
      <w:r>
        <w:rPr>
          <w:rStyle w:val="FootnoteReference"/>
        </w:rPr>
        <w:footnoteRef/>
      </w:r>
      <w:r>
        <w:t xml:space="preserve"> Regulation 6(1) of LN 288/2015.</w:t>
      </w:r>
    </w:p>
  </w:footnote>
  <w:footnote w:id="8">
    <w:p w14:paraId="786CCC6A" w14:textId="77777777" w:rsidR="00894CB7" w:rsidRPr="007C0C0B" w:rsidRDefault="00894CB7" w:rsidP="00346D85">
      <w:pPr>
        <w:pStyle w:val="FootnoteText"/>
        <w:rPr>
          <w:lang w:val="en-US"/>
        </w:rPr>
      </w:pPr>
      <w:r>
        <w:rPr>
          <w:rStyle w:val="FootnoteReference"/>
        </w:rPr>
        <w:footnoteRef/>
      </w:r>
      <w:r>
        <w:t xml:space="preserve"> Subsidiary Legislation 217.04, Immigration Regulations, 1 May 2004, Legal Notice 205 of 2004 as amended by Legal Notices 307 and 426 of 2012: </w:t>
      </w:r>
      <w:hyperlink r:id="rId6" w:history="1">
        <w:r w:rsidRPr="00351BFE">
          <w:rPr>
            <w:rStyle w:val="Hyperlink"/>
          </w:rPr>
          <w:t>http://www.justiceservices.gov.mt/DownloadDocument.aspx?app=lom&amp;itemid=9559&amp;l=1</w:t>
        </w:r>
      </w:hyperlink>
      <w:r>
        <w:t xml:space="preserve">. </w:t>
      </w:r>
    </w:p>
  </w:footnote>
  <w:footnote w:id="9">
    <w:p w14:paraId="4BC0E448" w14:textId="3E2C477E" w:rsidR="00894CB7" w:rsidRDefault="00894CB7">
      <w:pPr>
        <w:pStyle w:val="FootnoteText"/>
      </w:pPr>
      <w:r>
        <w:rPr>
          <w:rStyle w:val="FootnoteReference"/>
        </w:rPr>
        <w:footnoteRef/>
      </w:r>
      <w:r>
        <w:t xml:space="preserve"> Subsidiary Legislation 188.013, Individual Investor Programme of the Republic of Malta Regulations, 4 February 2014, Legal Notice 47 of 2014: </w:t>
      </w:r>
      <w:hyperlink r:id="rId7" w:history="1">
        <w:r w:rsidRPr="00746B11">
          <w:rPr>
            <w:rStyle w:val="Hyperlink"/>
          </w:rPr>
          <w:t>http://www.justiceservices.gov.mt/DownloadDocument.aspx?app=lom&amp;itemid=12141&amp;l=1</w:t>
        </w:r>
      </w:hyperlink>
    </w:p>
  </w:footnote>
  <w:footnote w:id="10">
    <w:p w14:paraId="4DA03F92" w14:textId="7DC7935F" w:rsidR="00894CB7" w:rsidRPr="003C6B24" w:rsidRDefault="00894CB7">
      <w:pPr>
        <w:pStyle w:val="FootnoteText"/>
        <w:rPr>
          <w:lang w:val="en-US"/>
        </w:rPr>
      </w:pPr>
      <w:r>
        <w:rPr>
          <w:rStyle w:val="FootnoteReference"/>
        </w:rPr>
        <w:footnoteRef/>
      </w:r>
      <w:r>
        <w:t xml:space="preserve"> </w:t>
      </w:r>
      <w:r>
        <w:rPr>
          <w:lang w:val="en-US"/>
        </w:rPr>
        <w:t xml:space="preserve">See Identity Malta webpage: Malta Residency &amp; Visa </w:t>
      </w:r>
      <w:proofErr w:type="spellStart"/>
      <w:r>
        <w:rPr>
          <w:lang w:val="en-US"/>
        </w:rPr>
        <w:t>Programme</w:t>
      </w:r>
      <w:proofErr w:type="spellEnd"/>
      <w:r>
        <w:rPr>
          <w:lang w:val="en-US"/>
        </w:rPr>
        <w:t xml:space="preserve"> (MRVP) guidelines and applications: </w:t>
      </w:r>
      <w:hyperlink r:id="rId8" w:history="1">
        <w:r w:rsidRPr="000558A2">
          <w:rPr>
            <w:rStyle w:val="Hyperlink"/>
            <w:lang w:val="en-US"/>
          </w:rPr>
          <w:t>https://identitymalta.com/new/malta-residency-visa-program-mrvp-guidelines-and-applications/</w:t>
        </w:r>
      </w:hyperlink>
      <w:r>
        <w:rPr>
          <w:lang w:val="en-US"/>
        </w:rPr>
        <w:t>.</w:t>
      </w:r>
    </w:p>
  </w:footnote>
  <w:footnote w:id="11">
    <w:p w14:paraId="79503D68" w14:textId="5F075248" w:rsidR="00894CB7" w:rsidRPr="002358B8" w:rsidRDefault="00894CB7">
      <w:pPr>
        <w:pStyle w:val="FootnoteText"/>
        <w:rPr>
          <w:lang w:val="en-US"/>
        </w:rPr>
      </w:pPr>
      <w:r>
        <w:rPr>
          <w:rStyle w:val="FootnoteReference"/>
        </w:rPr>
        <w:footnoteRef/>
      </w:r>
      <w:r>
        <w:t xml:space="preserve"> </w:t>
      </w:r>
      <w:r>
        <w:rPr>
          <w:lang w:val="en-US"/>
        </w:rPr>
        <w:t xml:space="preserve">Subsidiary Legislation 497.21, Malta Residency Visa (Establishment of an Agency) Order, 21 April 2017, Legal Notice 107 of 2017 as amended by Legal Notice 201 of 2017: </w:t>
      </w:r>
      <w:hyperlink r:id="rId9" w:history="1">
        <w:r w:rsidRPr="000558A2">
          <w:rPr>
            <w:rStyle w:val="Hyperlink"/>
            <w:lang w:val="en-US"/>
          </w:rPr>
          <w:t>http://www.justiceservices.gov.mt/DownloadDocument.aspx?app=lom&amp;itemid=12655&amp;l=1</w:t>
        </w:r>
      </w:hyperlink>
      <w:r>
        <w:rPr>
          <w:lang w:val="en-US"/>
        </w:rPr>
        <w:t xml:space="preserve">. </w:t>
      </w:r>
    </w:p>
  </w:footnote>
  <w:footnote w:id="12">
    <w:p w14:paraId="338A2880" w14:textId="112FA975" w:rsidR="00894CB7" w:rsidRDefault="00894CB7">
      <w:pPr>
        <w:pStyle w:val="FootnoteText"/>
      </w:pPr>
      <w:r>
        <w:rPr>
          <w:rStyle w:val="FootnoteReference"/>
        </w:rPr>
        <w:footnoteRef/>
      </w:r>
      <w:r>
        <w:t xml:space="preserve"> </w:t>
      </w:r>
      <w:r>
        <w:rPr>
          <w:lang w:val="en-US"/>
        </w:rPr>
        <w:t xml:space="preserve">Subsidiary Legislation 497.26, Malta Residency Visa (Establishment) Order, 29 March 2018, Legal Notice 97 of 2018: </w:t>
      </w:r>
      <w:hyperlink r:id="rId10" w:history="1">
        <w:r w:rsidRPr="002232C6">
          <w:rPr>
            <w:rStyle w:val="Hyperlink"/>
            <w:lang w:val="en-US"/>
          </w:rPr>
          <w:t>http://www.justiceservices.gov.mt/DownloadDocument.aspx?app=lom&amp;itemid=12810&amp;l=1</w:t>
        </w:r>
      </w:hyperlink>
      <w:r>
        <w:rPr>
          <w:lang w:val="en-US"/>
        </w:rPr>
        <w:t xml:space="preserve"> </w:t>
      </w:r>
    </w:p>
  </w:footnote>
  <w:footnote w:id="13">
    <w:p w14:paraId="212C508F" w14:textId="1F9686EF" w:rsidR="00894CB7" w:rsidRDefault="00894CB7">
      <w:pPr>
        <w:pStyle w:val="FootnoteText"/>
      </w:pPr>
      <w:r>
        <w:rPr>
          <w:rStyle w:val="FootnoteReference"/>
        </w:rPr>
        <w:footnoteRef/>
      </w:r>
      <w:r>
        <w:t xml:space="preserve"> Article 9 of LN 97/2018: ‘The Malta Residency Agency (Establishment) Order’ is hereby repealed.’</w:t>
      </w:r>
    </w:p>
  </w:footnote>
  <w:footnote w:id="14">
    <w:p w14:paraId="0FC361B7" w14:textId="77777777" w:rsidR="00894CB7" w:rsidRDefault="00894CB7" w:rsidP="00467E26">
      <w:pPr>
        <w:pStyle w:val="FootnoteText"/>
      </w:pPr>
      <w:r>
        <w:rPr>
          <w:rStyle w:val="FootnoteReference"/>
        </w:rPr>
        <w:footnoteRef/>
      </w:r>
      <w:r>
        <w:t xml:space="preserve"> Article 6 of LN 97/2018</w:t>
      </w:r>
    </w:p>
  </w:footnote>
  <w:footnote w:id="15">
    <w:p w14:paraId="558856E3" w14:textId="77777777" w:rsidR="00894CB7" w:rsidRDefault="00894CB7" w:rsidP="00467E26">
      <w:pPr>
        <w:pStyle w:val="FootnoteText"/>
      </w:pPr>
      <w:r>
        <w:rPr>
          <w:rStyle w:val="FootnoteReference"/>
        </w:rPr>
        <w:footnoteRef/>
      </w:r>
      <w:r>
        <w:t xml:space="preserve"> Article 6 of LN 97/2018</w:t>
      </w:r>
    </w:p>
  </w:footnote>
  <w:footnote w:id="16">
    <w:p w14:paraId="6A7A1F26" w14:textId="77777777" w:rsidR="00894CB7" w:rsidRDefault="00894CB7" w:rsidP="00467E26">
      <w:pPr>
        <w:pStyle w:val="FootnoteText"/>
      </w:pPr>
      <w:r>
        <w:rPr>
          <w:rStyle w:val="FootnoteReference"/>
        </w:rPr>
        <w:footnoteRef/>
      </w:r>
      <w:r>
        <w:t xml:space="preserve"> Article 7(1) of LN 97/2018.</w:t>
      </w:r>
    </w:p>
  </w:footnote>
  <w:footnote w:id="17">
    <w:p w14:paraId="6A09E917" w14:textId="77777777" w:rsidR="00894CB7" w:rsidRDefault="00894CB7" w:rsidP="00467E26">
      <w:pPr>
        <w:pStyle w:val="FootnoteText"/>
      </w:pPr>
      <w:r>
        <w:rPr>
          <w:rStyle w:val="FootnoteReference"/>
        </w:rPr>
        <w:footnoteRef/>
      </w:r>
      <w:r>
        <w:t xml:space="preserve"> Article 7(3) and (4) of LN 97/2018.</w:t>
      </w:r>
    </w:p>
  </w:footnote>
  <w:footnote w:id="18">
    <w:p w14:paraId="5861337F" w14:textId="03A12F6F" w:rsidR="00894CB7" w:rsidRPr="002358B8" w:rsidRDefault="00894CB7">
      <w:pPr>
        <w:pStyle w:val="FootnoteText"/>
        <w:rPr>
          <w:lang w:val="en-US"/>
        </w:rPr>
      </w:pPr>
      <w:r>
        <w:rPr>
          <w:rStyle w:val="FootnoteReference"/>
        </w:rPr>
        <w:footnoteRef/>
      </w:r>
      <w:r>
        <w:t xml:space="preserve"> </w:t>
      </w:r>
      <w:r>
        <w:rPr>
          <w:lang w:val="en-US"/>
        </w:rPr>
        <w:t>Article 3 of LN 97/2018.</w:t>
      </w:r>
    </w:p>
  </w:footnote>
  <w:footnote w:id="19">
    <w:p w14:paraId="25B54C4E" w14:textId="77777777" w:rsidR="00894CB7" w:rsidRPr="00C3570B" w:rsidRDefault="00894CB7" w:rsidP="009373AD">
      <w:pPr>
        <w:pStyle w:val="FootnoteText"/>
        <w:rPr>
          <w:lang w:val="en-US"/>
        </w:rPr>
      </w:pPr>
      <w:r>
        <w:rPr>
          <w:rStyle w:val="FootnoteReference"/>
        </w:rPr>
        <w:footnoteRef/>
      </w:r>
      <w:r>
        <w:t xml:space="preserve"> </w:t>
      </w:r>
      <w:r>
        <w:rPr>
          <w:lang w:val="en-US"/>
        </w:rPr>
        <w:t xml:space="preserve">Chapter 497 of the Laws of Malta, Public Administration Act, 27 November 2009, Act I of 2009 as last amended by Legal Notice 243 of 2017, Act II of 2018 and Legal Notice 96 of 2018: </w:t>
      </w:r>
      <w:r w:rsidRPr="00001B8D">
        <w:t>http://www.justiceservices.gov.mt/DownloadDocument.aspx?app=lom&amp;itemid=8963&amp;l=1</w:t>
      </w:r>
      <w:r>
        <w:t>.</w:t>
      </w:r>
    </w:p>
  </w:footnote>
  <w:footnote w:id="20">
    <w:p w14:paraId="360711E4" w14:textId="524E92FE" w:rsidR="00894CB7" w:rsidRPr="009D0459" w:rsidRDefault="00894CB7" w:rsidP="00DA0FED">
      <w:pPr>
        <w:pStyle w:val="FootnoteText"/>
        <w:rPr>
          <w:lang w:val="en-US"/>
        </w:rPr>
      </w:pPr>
      <w:r>
        <w:rPr>
          <w:rStyle w:val="FootnoteReference"/>
        </w:rPr>
        <w:footnoteRef/>
      </w:r>
      <w:r>
        <w:t xml:space="preserve"> Subsidiary Legislation 497.07, Identity Malta Agency (Establishment) Order, 10 September 2103, Legal Notice 269 of 2013, as amended by Legal Notice 101 of 2016: </w:t>
      </w:r>
      <w:hyperlink r:id="rId11" w:history="1">
        <w:r w:rsidRPr="00746B11">
          <w:rPr>
            <w:rStyle w:val="Hyperlink"/>
          </w:rPr>
          <w:t>http://www.justiceservices.gov.mt/DownloadDocument.aspx?app=lom&amp;itemid=12096&amp;l=1</w:t>
        </w:r>
      </w:hyperlink>
      <w:r>
        <w:t xml:space="preserve">. </w:t>
      </w:r>
    </w:p>
  </w:footnote>
  <w:footnote w:id="21">
    <w:p w14:paraId="4846345D" w14:textId="77777777" w:rsidR="00894CB7" w:rsidRPr="009D0459" w:rsidRDefault="00894CB7" w:rsidP="00DA0FED">
      <w:pPr>
        <w:pStyle w:val="FootnoteText"/>
        <w:rPr>
          <w:lang w:val="en-US"/>
        </w:rPr>
      </w:pPr>
      <w:r>
        <w:rPr>
          <w:rStyle w:val="FootnoteReference"/>
        </w:rPr>
        <w:footnoteRef/>
      </w:r>
      <w:r>
        <w:t xml:space="preserve"> </w:t>
      </w:r>
      <w:r>
        <w:rPr>
          <w:lang w:val="en-US"/>
        </w:rPr>
        <w:t>Article 3(1) of LN 269/2013.</w:t>
      </w:r>
    </w:p>
  </w:footnote>
  <w:footnote w:id="22">
    <w:p w14:paraId="6CD856E4" w14:textId="77777777" w:rsidR="00894CB7" w:rsidRPr="00C3570B" w:rsidRDefault="00894CB7" w:rsidP="008A300F">
      <w:pPr>
        <w:pStyle w:val="FootnoteText"/>
        <w:rPr>
          <w:lang w:val="en-US"/>
        </w:rPr>
      </w:pPr>
      <w:r>
        <w:rPr>
          <w:rStyle w:val="FootnoteReference"/>
        </w:rPr>
        <w:footnoteRef/>
      </w:r>
      <w:r>
        <w:t xml:space="preserve"> </w:t>
      </w:r>
      <w:r>
        <w:rPr>
          <w:lang w:val="en-US"/>
        </w:rPr>
        <w:t xml:space="preserve">Chapter 497 of the Laws of Malta, Public Administration Act, 27 November 2009, Act I of 2009 as last amended by Legal Notice 243 of 2017, Act II of 2018 and Legal Notice 96 of 2018: </w:t>
      </w:r>
      <w:r w:rsidRPr="00001B8D">
        <w:t>http://www.justiceservices.gov.mt/DownloadDocument.aspx?app=lom&amp;itemid=8963&amp;l=1</w:t>
      </w:r>
      <w:r>
        <w:t>.</w:t>
      </w:r>
    </w:p>
  </w:footnote>
  <w:footnote w:id="23">
    <w:p w14:paraId="428A697B" w14:textId="61851E25" w:rsidR="00894CB7" w:rsidRPr="009D0459" w:rsidRDefault="00894CB7" w:rsidP="008A300F">
      <w:pPr>
        <w:pStyle w:val="FootnoteText"/>
        <w:rPr>
          <w:lang w:val="en-US"/>
        </w:rPr>
      </w:pPr>
      <w:r>
        <w:rPr>
          <w:rStyle w:val="FootnoteReference"/>
        </w:rPr>
        <w:footnoteRef/>
      </w:r>
      <w:r>
        <w:t xml:space="preserve"> Article 4 of LN 97/2018 </w:t>
      </w:r>
      <w:r>
        <w:rPr>
          <w:lang w:val="en-US"/>
        </w:rPr>
        <w:t>Article 4 of LN 269/2013.</w:t>
      </w:r>
    </w:p>
  </w:footnote>
  <w:footnote w:id="24">
    <w:p w14:paraId="52FD68E0" w14:textId="2A947506" w:rsidR="00894CB7" w:rsidRDefault="00894CB7" w:rsidP="008A300F">
      <w:pPr>
        <w:pStyle w:val="FootnoteText"/>
      </w:pPr>
      <w:r>
        <w:rPr>
          <w:rStyle w:val="FootnoteReference"/>
        </w:rPr>
        <w:footnoteRef/>
      </w:r>
      <w:r>
        <w:t xml:space="preserve"> Article 3 of LN 97/2018 and Article 3(1) of LN 269/2013.</w:t>
      </w:r>
    </w:p>
  </w:footnote>
  <w:footnote w:id="25">
    <w:p w14:paraId="0864BA93" w14:textId="77777777" w:rsidR="00894CB7" w:rsidRDefault="00894CB7" w:rsidP="008A300F">
      <w:pPr>
        <w:pStyle w:val="FootnoteText"/>
      </w:pPr>
      <w:r>
        <w:rPr>
          <w:rStyle w:val="FootnoteReference"/>
        </w:rPr>
        <w:footnoteRef/>
      </w:r>
      <w:r>
        <w:t xml:space="preserve"> Identity Malta Agency (Establishment) (Amendment) Order, 29 March 2018, Legal Notice 95 of 2018: </w:t>
      </w:r>
      <w:hyperlink r:id="rId12" w:history="1">
        <w:r w:rsidRPr="00F75FF9">
          <w:rPr>
            <w:rStyle w:val="Hyperlink"/>
          </w:rPr>
          <w:t>http://justiceservices.gov.mt/DownloadDocument.aspx?app=lp&amp;itemid=28992&amp;l=1</w:t>
        </w:r>
      </w:hyperlink>
      <w:r>
        <w:t>.</w:t>
      </w:r>
    </w:p>
  </w:footnote>
  <w:footnote w:id="26">
    <w:p w14:paraId="1B564371" w14:textId="77777777" w:rsidR="00894CB7" w:rsidRDefault="00894CB7" w:rsidP="008A300F">
      <w:pPr>
        <w:pStyle w:val="FootnoteText"/>
      </w:pPr>
      <w:r>
        <w:rPr>
          <w:rStyle w:val="FootnoteReference"/>
        </w:rPr>
        <w:footnoteRef/>
      </w:r>
      <w:r>
        <w:t xml:space="preserve"> Article 8(1 and (4) of LN 269/2013.</w:t>
      </w:r>
    </w:p>
  </w:footnote>
  <w:footnote w:id="27">
    <w:p w14:paraId="5765F5B4" w14:textId="77777777" w:rsidR="00894CB7" w:rsidRDefault="00894CB7" w:rsidP="008A300F">
      <w:pPr>
        <w:pStyle w:val="FootnoteText"/>
      </w:pPr>
      <w:r>
        <w:rPr>
          <w:rStyle w:val="FootnoteReference"/>
        </w:rPr>
        <w:footnoteRef/>
      </w:r>
      <w:r>
        <w:t xml:space="preserve"> Article 8(2) and (3) of LN 269/2013.</w:t>
      </w:r>
    </w:p>
  </w:footnote>
  <w:footnote w:id="28">
    <w:p w14:paraId="7D8FE84F" w14:textId="77777777" w:rsidR="00894CB7" w:rsidRDefault="00894CB7" w:rsidP="008A300F">
      <w:pPr>
        <w:pStyle w:val="FootnoteText"/>
      </w:pPr>
      <w:r>
        <w:rPr>
          <w:rStyle w:val="FootnoteReference"/>
        </w:rPr>
        <w:footnoteRef/>
      </w:r>
      <w:r>
        <w:t xml:space="preserve"> Article 9(1) and (2) of LN 269/2013.</w:t>
      </w:r>
    </w:p>
  </w:footnote>
  <w:footnote w:id="29">
    <w:p w14:paraId="14D00A73" w14:textId="77777777" w:rsidR="00894CB7" w:rsidRDefault="00894CB7" w:rsidP="008A300F">
      <w:pPr>
        <w:pStyle w:val="FootnoteText"/>
      </w:pPr>
      <w:r>
        <w:rPr>
          <w:rStyle w:val="FootnoteReference"/>
        </w:rPr>
        <w:footnoteRef/>
      </w:r>
      <w:r>
        <w:t xml:space="preserve"> Articles 9(3) and 10 of LN 269/2013.</w:t>
      </w:r>
    </w:p>
  </w:footnote>
  <w:footnote w:id="30">
    <w:p w14:paraId="69F8973C" w14:textId="77777777" w:rsidR="00894CB7" w:rsidRDefault="00894CB7" w:rsidP="008A300F">
      <w:pPr>
        <w:pStyle w:val="FootnoteText"/>
      </w:pPr>
      <w:r>
        <w:rPr>
          <w:rStyle w:val="FootnoteReference"/>
        </w:rPr>
        <w:footnoteRef/>
      </w:r>
      <w:r>
        <w:t xml:space="preserve"> Subsidiary Legislation 497.25, Malta Individual Investor Programme Agency (Establishment) Order, 29 March 2018, Legal Notice 96 of 2018: </w:t>
      </w:r>
      <w:r w:rsidRPr="005F42FB">
        <w:t>http://www.justiceservices.gov.mt/DownloadDocument.aspx?app=lom&amp;itemid=12809&amp;l=1</w:t>
      </w:r>
      <w:r>
        <w:t>.</w:t>
      </w:r>
    </w:p>
  </w:footnote>
  <w:footnote w:id="31">
    <w:p w14:paraId="78440AAF" w14:textId="3F03ACEF"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32">
    <w:p w14:paraId="7A84787E" w14:textId="0408C6C1" w:rsidR="00894CB7" w:rsidRDefault="00894CB7">
      <w:pPr>
        <w:pStyle w:val="FootnoteText"/>
      </w:pPr>
      <w:r>
        <w:rPr>
          <w:rStyle w:val="FootnoteReference"/>
        </w:rPr>
        <w:footnoteRef/>
      </w:r>
      <w:r>
        <w:t xml:space="preserve"> Times of Malta, ‘Residence agencies split into three’, 29 March 2018: </w:t>
      </w:r>
      <w:hyperlink r:id="rId13" w:history="1">
        <w:r w:rsidRPr="002232C6">
          <w:rPr>
            <w:rStyle w:val="Hyperlink"/>
          </w:rPr>
          <w:t>https://www.timesofmalta.com/articles/view/20180329/local/residence-agencies-split-into-three.674864</w:t>
        </w:r>
      </w:hyperlink>
      <w:r>
        <w:t xml:space="preserve">. </w:t>
      </w:r>
    </w:p>
  </w:footnote>
  <w:footnote w:id="33">
    <w:p w14:paraId="5D2181A0" w14:textId="3965C602" w:rsidR="00894CB7" w:rsidRDefault="00894CB7">
      <w:pPr>
        <w:pStyle w:val="FootnoteText"/>
      </w:pPr>
      <w:r>
        <w:rPr>
          <w:rStyle w:val="FootnoteReference"/>
        </w:rPr>
        <w:footnoteRef/>
      </w:r>
      <w:r>
        <w:t xml:space="preserve"> Further details are provided in Deliverable BI for Malta.</w:t>
      </w:r>
    </w:p>
  </w:footnote>
  <w:footnote w:id="34">
    <w:p w14:paraId="0884C395" w14:textId="39BB2691" w:rsidR="00894CB7" w:rsidRDefault="00894CB7" w:rsidP="004C7C15">
      <w:pPr>
        <w:pStyle w:val="FootnoteText"/>
      </w:pPr>
      <w:r>
        <w:rPr>
          <w:rStyle w:val="FootnoteReference"/>
        </w:rPr>
        <w:footnoteRef/>
      </w:r>
      <w:r>
        <w:t xml:space="preserve"> Article 3(1) of Chapter 372 of the Laws of Malta, Income Tax Management Act, 23 September 1994, Act XVIII of 1994 as last amended by Act VII of 2018: </w:t>
      </w:r>
      <w:hyperlink r:id="rId14" w:history="1">
        <w:r w:rsidRPr="001F25ED">
          <w:rPr>
            <w:rStyle w:val="Hyperlink"/>
          </w:rPr>
          <w:t>http://www.justiceservices.gov.mt/DownloadDocument.aspx?app=lom&amp;itemid=8841&amp;l=1</w:t>
        </w:r>
      </w:hyperlink>
      <w:r>
        <w:t xml:space="preserve">. </w:t>
      </w:r>
    </w:p>
  </w:footnote>
  <w:footnote w:id="35">
    <w:p w14:paraId="20319835" w14:textId="7D844E21" w:rsidR="00894CB7" w:rsidRDefault="00894CB7">
      <w:pPr>
        <w:pStyle w:val="FootnoteText"/>
      </w:pPr>
      <w:r>
        <w:rPr>
          <w:rStyle w:val="FootnoteReference"/>
        </w:rPr>
        <w:footnoteRef/>
      </w:r>
      <w:r>
        <w:t xml:space="preserve"> Chapter 406 of the Laws of Malta, Value Added Tax Act, 1 January 1999, Act XXIII of 1998 as last amended by Legal Notice 9 of 2018: </w:t>
      </w:r>
      <w:hyperlink r:id="rId15" w:history="1">
        <w:r w:rsidRPr="001F25ED">
          <w:rPr>
            <w:rStyle w:val="Hyperlink"/>
          </w:rPr>
          <w:t>http://www.justiceservices.gov.mt/DownloadDocument.aspx?app=lom&amp;itemid=8872&amp;l=1</w:t>
        </w:r>
      </w:hyperlink>
      <w:r>
        <w:t xml:space="preserve">. </w:t>
      </w:r>
    </w:p>
  </w:footnote>
  <w:footnote w:id="36">
    <w:p w14:paraId="45D01C65" w14:textId="4BF80307" w:rsidR="00894CB7" w:rsidRPr="00E3010C" w:rsidRDefault="00894CB7">
      <w:pPr>
        <w:pStyle w:val="FootnoteText"/>
        <w:rPr>
          <w:lang w:val="en-US"/>
        </w:rPr>
      </w:pPr>
      <w:r>
        <w:rPr>
          <w:rStyle w:val="FootnoteReference"/>
        </w:rPr>
        <w:footnoteRef/>
      </w:r>
      <w:r>
        <w:t xml:space="preserve"> </w:t>
      </w:r>
      <w:r>
        <w:rPr>
          <w:lang w:val="en-US"/>
        </w:rPr>
        <w:t>See point 1.2 of Section II below.</w:t>
      </w:r>
    </w:p>
  </w:footnote>
  <w:footnote w:id="37">
    <w:p w14:paraId="6224BBD1" w14:textId="77777777" w:rsidR="00894CB7" w:rsidRPr="00AB1618" w:rsidRDefault="00894CB7" w:rsidP="00197F2A">
      <w:pPr>
        <w:pStyle w:val="FootnoteText"/>
        <w:rPr>
          <w:lang w:val="en-US"/>
        </w:rPr>
      </w:pPr>
      <w:r>
        <w:rPr>
          <w:rStyle w:val="FootnoteReference"/>
        </w:rPr>
        <w:footnoteRef/>
      </w:r>
      <w:r>
        <w:t xml:space="preserve"> </w:t>
      </w:r>
      <w:r>
        <w:rPr>
          <w:lang w:val="en-US"/>
        </w:rPr>
        <w:t>Regulation 6(1) of LN 288/2015.</w:t>
      </w:r>
    </w:p>
  </w:footnote>
  <w:footnote w:id="38">
    <w:p w14:paraId="36461D3D" w14:textId="77777777" w:rsidR="00894CB7" w:rsidRPr="006D7260" w:rsidRDefault="00894CB7" w:rsidP="00197F2A">
      <w:pPr>
        <w:pStyle w:val="FootnoteText"/>
        <w:rPr>
          <w:lang w:val="en-US"/>
        </w:rPr>
      </w:pPr>
      <w:r>
        <w:rPr>
          <w:rStyle w:val="FootnoteReference"/>
        </w:rPr>
        <w:footnoteRef/>
      </w:r>
      <w:r>
        <w:t xml:space="preserve"> </w:t>
      </w:r>
      <w:r>
        <w:rPr>
          <w:lang w:val="en-US"/>
        </w:rPr>
        <w:t>Regulation 2 of LN 288/2015 defines ‘certified copy’ as ‘a photocopy of an original document certified by a duly warranted lawyer, or notary public, a Maltese consular or diplomatic officer, Malta Residence and Visa Agency or a senior officer of an authority appointed by Malta Residence and Visa Agency in terms of regulation 11(2)’. Regulation 11(2) of LN 288/2015 grants the MRVA the right to delegate any of its functions under the regulation, other than the issuance of the certificate, to another authority duly constituted under any other law and capable of exercising such functions.</w:t>
      </w:r>
    </w:p>
  </w:footnote>
  <w:footnote w:id="39">
    <w:p w14:paraId="3ADC7E9C" w14:textId="77777777" w:rsidR="00894CB7" w:rsidRPr="006D7260" w:rsidRDefault="00894CB7" w:rsidP="00197F2A">
      <w:pPr>
        <w:pStyle w:val="FootnoteText"/>
        <w:rPr>
          <w:lang w:val="en-US"/>
        </w:rPr>
      </w:pPr>
      <w:r>
        <w:rPr>
          <w:rStyle w:val="FootnoteReference"/>
        </w:rPr>
        <w:footnoteRef/>
      </w:r>
      <w:r>
        <w:t xml:space="preserve"> </w:t>
      </w:r>
      <w:r>
        <w:rPr>
          <w:lang w:val="en-US"/>
        </w:rPr>
        <w:t>Regulation 6(2) of LN 288/2015.</w:t>
      </w:r>
    </w:p>
  </w:footnote>
  <w:footnote w:id="40">
    <w:p w14:paraId="77ACD3CE" w14:textId="497B11E2" w:rsidR="00894CB7" w:rsidRPr="00BC5668" w:rsidRDefault="00894CB7">
      <w:pPr>
        <w:pStyle w:val="FootnoteText"/>
        <w:rPr>
          <w:lang w:val="en-US"/>
        </w:rPr>
      </w:pPr>
      <w:r>
        <w:rPr>
          <w:rStyle w:val="FootnoteReference"/>
        </w:rPr>
        <w:footnoteRef/>
      </w:r>
      <w:r>
        <w:t xml:space="preserve"> </w:t>
      </w:r>
      <w:proofErr w:type="spellStart"/>
      <w:r>
        <w:rPr>
          <w:lang w:val="en-US"/>
        </w:rPr>
        <w:t>Dependants</w:t>
      </w:r>
      <w:proofErr w:type="spellEnd"/>
      <w:r>
        <w:rPr>
          <w:lang w:val="en-US"/>
        </w:rPr>
        <w:t xml:space="preserve"> are a broad range of family members and the relevant legal provisions are described in point 1.5 of Section II below.</w:t>
      </w:r>
    </w:p>
  </w:footnote>
  <w:footnote w:id="41">
    <w:p w14:paraId="171F2103" w14:textId="77777777" w:rsidR="00894CB7" w:rsidRDefault="00894CB7" w:rsidP="00D9383B">
      <w:pPr>
        <w:pStyle w:val="FootnoteText"/>
      </w:pPr>
      <w:r>
        <w:rPr>
          <w:rStyle w:val="FootnoteReference"/>
        </w:rPr>
        <w:footnoteRef/>
      </w:r>
      <w:r>
        <w:t xml:space="preserve"> Stakeholder consultation with MRVA representative on 7 March 2018.</w:t>
      </w:r>
    </w:p>
  </w:footnote>
  <w:footnote w:id="42">
    <w:p w14:paraId="4A9BBE1A" w14:textId="77777777" w:rsidR="00894CB7" w:rsidRPr="00547E3F" w:rsidRDefault="00894CB7" w:rsidP="00197F2A">
      <w:pPr>
        <w:pStyle w:val="FootnoteText"/>
        <w:rPr>
          <w:lang w:val="en-US"/>
        </w:rPr>
      </w:pPr>
      <w:r>
        <w:rPr>
          <w:rStyle w:val="FootnoteReference"/>
        </w:rPr>
        <w:footnoteRef/>
      </w:r>
      <w:r>
        <w:t xml:space="preserve"> </w:t>
      </w:r>
      <w:r>
        <w:rPr>
          <w:lang w:val="en-US"/>
        </w:rPr>
        <w:t>Regulation 2 of LN 288/2015 defines ‘non-refundable administrative fee’ as ‘the portion of the contribution paid up front at the time of submission of the application’.</w:t>
      </w:r>
    </w:p>
  </w:footnote>
  <w:footnote w:id="43">
    <w:p w14:paraId="53D8D505" w14:textId="77777777" w:rsidR="00894CB7" w:rsidRPr="00AB1618" w:rsidRDefault="00894CB7" w:rsidP="00197F2A">
      <w:pPr>
        <w:pStyle w:val="FootnoteText"/>
        <w:rPr>
          <w:lang w:val="en-US"/>
        </w:rPr>
      </w:pPr>
      <w:r>
        <w:rPr>
          <w:rStyle w:val="FootnoteReference"/>
        </w:rPr>
        <w:footnoteRef/>
      </w:r>
      <w:r>
        <w:t xml:space="preserve"> </w:t>
      </w:r>
      <w:r>
        <w:rPr>
          <w:lang w:val="en-US"/>
        </w:rPr>
        <w:t>Regulation 5(1) of LN 288/2015.</w:t>
      </w:r>
    </w:p>
  </w:footnote>
  <w:footnote w:id="44">
    <w:p w14:paraId="37F1EB28" w14:textId="77777777" w:rsidR="00894CB7" w:rsidRPr="006D7260" w:rsidRDefault="00894CB7" w:rsidP="00197F2A">
      <w:pPr>
        <w:pStyle w:val="FootnoteText"/>
        <w:rPr>
          <w:lang w:val="en-US"/>
        </w:rPr>
      </w:pPr>
      <w:r>
        <w:rPr>
          <w:rStyle w:val="FootnoteReference"/>
        </w:rPr>
        <w:footnoteRef/>
      </w:r>
      <w:r>
        <w:t xml:space="preserve"> </w:t>
      </w:r>
      <w:r>
        <w:rPr>
          <w:lang w:val="en-US"/>
        </w:rPr>
        <w:t xml:space="preserve">Regulation 6(3) of LN 288/2015. </w:t>
      </w:r>
    </w:p>
  </w:footnote>
  <w:footnote w:id="45">
    <w:p w14:paraId="78D70930" w14:textId="1A71F500" w:rsidR="00894CB7" w:rsidRPr="00547E3F" w:rsidRDefault="00894CB7">
      <w:pPr>
        <w:pStyle w:val="FootnoteText"/>
        <w:rPr>
          <w:lang w:val="en-US"/>
        </w:rPr>
      </w:pPr>
      <w:r>
        <w:rPr>
          <w:rStyle w:val="FootnoteReference"/>
        </w:rPr>
        <w:footnoteRef/>
      </w:r>
      <w:r>
        <w:t xml:space="preserve"> </w:t>
      </w:r>
      <w:r>
        <w:rPr>
          <w:lang w:val="en-US"/>
        </w:rPr>
        <w:t>Regulation 2 of LN 288/2015 defines ‘beneficiary’ as ‘a third-country national who has been issued a certificate in terms of these regulations’ and ‘third-country national’ as ‘any person who is not a citizen of the European Union within the meaning of Article 20 of the Treaty o the European Union and the Treaty on the Functioning of the European Union: Provided that, for the purposes of these regulations, EEA nationals and Swiss nationals shall not be considered to be third-country nationals’.</w:t>
      </w:r>
    </w:p>
  </w:footnote>
  <w:footnote w:id="46">
    <w:p w14:paraId="0A84050C" w14:textId="100ECC41" w:rsidR="00894CB7" w:rsidRPr="00AB1618" w:rsidRDefault="00894CB7">
      <w:pPr>
        <w:pStyle w:val="FootnoteText"/>
        <w:rPr>
          <w:lang w:val="en-US"/>
        </w:rPr>
      </w:pPr>
      <w:r>
        <w:rPr>
          <w:rStyle w:val="FootnoteReference"/>
        </w:rPr>
        <w:footnoteRef/>
      </w:r>
      <w:r>
        <w:t xml:space="preserve"> </w:t>
      </w:r>
      <w:r>
        <w:rPr>
          <w:lang w:val="en-US"/>
        </w:rPr>
        <w:t>Regulation 5(2) of LN 288/2015.</w:t>
      </w:r>
    </w:p>
  </w:footnote>
  <w:footnote w:id="47">
    <w:p w14:paraId="5E1155BA" w14:textId="5880700D" w:rsidR="00894CB7" w:rsidRPr="00AB1618" w:rsidRDefault="00894CB7">
      <w:pPr>
        <w:pStyle w:val="FootnoteText"/>
        <w:rPr>
          <w:lang w:val="en-US"/>
        </w:rPr>
      </w:pPr>
      <w:r>
        <w:rPr>
          <w:rStyle w:val="FootnoteReference"/>
        </w:rPr>
        <w:footnoteRef/>
      </w:r>
      <w:r>
        <w:t xml:space="preserve"> </w:t>
      </w:r>
      <w:r>
        <w:rPr>
          <w:lang w:val="en-US"/>
        </w:rPr>
        <w:t>Regulation 5(3) of LN 288/2015.</w:t>
      </w:r>
    </w:p>
  </w:footnote>
  <w:footnote w:id="48">
    <w:p w14:paraId="2D8CAA89" w14:textId="3211BC1D"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49">
    <w:p w14:paraId="1CDC8862" w14:textId="776C4992" w:rsidR="00894CB7" w:rsidRPr="00AB1618" w:rsidRDefault="00894CB7">
      <w:pPr>
        <w:pStyle w:val="FootnoteText"/>
        <w:rPr>
          <w:lang w:val="en-US"/>
        </w:rPr>
      </w:pPr>
      <w:r>
        <w:rPr>
          <w:rStyle w:val="FootnoteReference"/>
        </w:rPr>
        <w:footnoteRef/>
      </w:r>
      <w:r>
        <w:t xml:space="preserve"> </w:t>
      </w:r>
      <w:r>
        <w:rPr>
          <w:lang w:val="en-US"/>
        </w:rPr>
        <w:t>Regulation 5(3), proviso of LN 288/2015.</w:t>
      </w:r>
    </w:p>
  </w:footnote>
  <w:footnote w:id="50">
    <w:p w14:paraId="271448E7" w14:textId="6E55F9C6" w:rsidR="00894CB7" w:rsidRPr="006D7260" w:rsidRDefault="00894CB7">
      <w:pPr>
        <w:pStyle w:val="FootnoteText"/>
        <w:rPr>
          <w:lang w:val="en-US"/>
        </w:rPr>
      </w:pPr>
      <w:r>
        <w:rPr>
          <w:rStyle w:val="FootnoteReference"/>
        </w:rPr>
        <w:footnoteRef/>
      </w:r>
      <w:r>
        <w:t xml:space="preserve"> </w:t>
      </w:r>
      <w:r>
        <w:rPr>
          <w:lang w:val="en-US"/>
        </w:rPr>
        <w:t>Regulation 6(6) of LN 288/2015.</w:t>
      </w:r>
    </w:p>
  </w:footnote>
  <w:footnote w:id="51">
    <w:p w14:paraId="25A0FBDC" w14:textId="5413B895" w:rsidR="00894CB7" w:rsidRPr="00594C82" w:rsidRDefault="00894CB7">
      <w:pPr>
        <w:pStyle w:val="FootnoteText"/>
      </w:pPr>
      <w:r>
        <w:rPr>
          <w:rStyle w:val="FootnoteReference"/>
        </w:rPr>
        <w:footnoteRef/>
      </w:r>
      <w:r>
        <w:t xml:space="preserve"> </w:t>
      </w:r>
      <w:r w:rsidRPr="001D0A03">
        <w:t xml:space="preserve">These schemes are set up by </w:t>
      </w:r>
      <w:r w:rsidRPr="00E461F3">
        <w:t xml:space="preserve">subsidiary legislation issued under the Income Tax Act, Chapter 123 of the Laws of Malta: </w:t>
      </w:r>
      <w:hyperlink r:id="rId16" w:history="1">
        <w:r w:rsidRPr="00276DEC">
          <w:rPr>
            <w:rStyle w:val="Hyperlink"/>
          </w:rPr>
          <w:t>http://www.justiceservices.gov.mt/DownloadDocument.aspx?app=lom&amp;itemid=8658&amp;l=1</w:t>
        </w:r>
      </w:hyperlink>
      <w:r w:rsidRPr="00E461F3">
        <w:t>.</w:t>
      </w:r>
      <w:r>
        <w:t xml:space="preserve"> </w:t>
      </w:r>
      <w:r w:rsidRPr="00E461F3">
        <w:t xml:space="preserve">They entitle their holders to a special tax status. Subsidiary Legislation 123.79, Residents Scheme Regulations, 1 May 2004, Legal Notice 428 of 2004, as last amended by Legal Notice 271 of 2014: </w:t>
      </w:r>
      <w:hyperlink r:id="rId17" w:history="1">
        <w:r w:rsidRPr="00E461F3">
          <w:rPr>
            <w:rStyle w:val="Hyperlink"/>
          </w:rPr>
          <w:t>http://www.justiceservices.gov.mt/DownloadDocument.aspx?app=lom&amp;itemid=9386&amp;l=1</w:t>
        </w:r>
      </w:hyperlink>
      <w:r w:rsidRPr="00E461F3">
        <w:t xml:space="preserve">; Subsidiary Legislation 123.126, Highly Qualified Persons Rules, 1 January 2010, Legal Notice 106 of 2011 as last amended by Legal Notice 192 of 2017: </w:t>
      </w:r>
      <w:hyperlink r:id="rId18" w:history="1">
        <w:r w:rsidRPr="00E461F3">
          <w:rPr>
            <w:rStyle w:val="Hyperlink"/>
          </w:rPr>
          <w:t>http://www.justiceservices.gov.mt/DownloadDocument.aspx?app=lom&amp;itemid=11643&amp;l=1</w:t>
        </w:r>
      </w:hyperlink>
      <w:r w:rsidRPr="00E461F3">
        <w:t xml:space="preserve">;  Subsidiary Legislation 123.129, High Net Worth Individuals – EU/EEA/Swiss Nationals Rules, 1 January 20122, Legal Notice 400 of 2011, as </w:t>
      </w:r>
      <w:r>
        <w:t>last amended by Legal Notice</w:t>
      </w:r>
      <w:r w:rsidRPr="00E461F3">
        <w:t xml:space="preserve"> 268 of 2014: </w:t>
      </w:r>
      <w:hyperlink r:id="rId19" w:history="1">
        <w:r w:rsidRPr="00E461F3">
          <w:rPr>
            <w:rStyle w:val="Hyperlink"/>
          </w:rPr>
          <w:t>http://www.justiceservices.gov.mt/DownloadDocument.aspx?app=lom&amp;itemid=11761&amp;l=1</w:t>
        </w:r>
      </w:hyperlink>
      <w:r w:rsidRPr="00E461F3">
        <w:t xml:space="preserve">; Subsidiary Legislation 123.134, Malta Retirement Programme Rules, 28 September 2012, Legal Notice 317 of 2912, as amended by Legal Notice 269 of 2014: </w:t>
      </w:r>
      <w:hyperlink r:id="rId20" w:history="1">
        <w:r w:rsidRPr="00E461F3">
          <w:rPr>
            <w:rStyle w:val="Hyperlink"/>
          </w:rPr>
          <w:t>http://www.justiceservices.gov.mt/DownloadDocument.aspx?app=lom&amp;itemid=11939&amp;l=1</w:t>
        </w:r>
      </w:hyperlink>
      <w:r w:rsidRPr="00E461F3">
        <w:t xml:space="preserve">; Subsidiary Legislation 123.141, Qualifying Employment in Innovation and Creativity (Personal Tax) Rules, 1 January 2013, Legal Notice 106 of 2013, as amended by Legal Notice 462 of 2014: </w:t>
      </w:r>
      <w:hyperlink r:id="rId21" w:history="1">
        <w:r w:rsidRPr="00E461F3">
          <w:rPr>
            <w:rStyle w:val="Hyperlink"/>
          </w:rPr>
          <w:t>http://www.justiceservices.gov.mt/DownloadDocument.aspx?app=lom&amp;itemid=12004&amp;l=1</w:t>
        </w:r>
      </w:hyperlink>
      <w:r w:rsidRPr="00E461F3">
        <w:t>; Subsidiary Legislation 123. 160, Residence Programme Rules, 1 July</w:t>
      </w:r>
      <w:r>
        <w:t xml:space="preserve"> 2013, Legal Notice 270 of 2014</w:t>
      </w:r>
      <w:r w:rsidRPr="00E461F3">
        <w:t xml:space="preserve">: </w:t>
      </w:r>
      <w:hyperlink r:id="rId22" w:history="1">
        <w:r w:rsidRPr="00E461F3">
          <w:rPr>
            <w:rStyle w:val="Hyperlink"/>
          </w:rPr>
          <w:t>http://www.justiceservices.gov.mt/DownloadDocument.aspx?app=lom&amp;itemid=12219&amp;l=1</w:t>
        </w:r>
      </w:hyperlink>
      <w:r w:rsidRPr="00E461F3">
        <w:t>;</w:t>
      </w:r>
      <w:r w:rsidRPr="00594C82">
        <w:t xml:space="preserve"> </w:t>
      </w:r>
    </w:p>
  </w:footnote>
  <w:footnote w:id="52">
    <w:p w14:paraId="054F3319" w14:textId="0D2F4A74" w:rsidR="00894CB7" w:rsidRDefault="00894CB7">
      <w:pPr>
        <w:pStyle w:val="FootnoteText"/>
      </w:pPr>
      <w:r>
        <w:rPr>
          <w:rStyle w:val="FootnoteReference"/>
        </w:rPr>
        <w:footnoteRef/>
      </w:r>
      <w:r>
        <w:t xml:space="preserve"> </w:t>
      </w:r>
      <w:r w:rsidRPr="00E461F3">
        <w:rPr>
          <w:bCs/>
        </w:rPr>
        <w:t>Regulation 2 of LN</w:t>
      </w:r>
      <w:r w:rsidRPr="00594C82">
        <w:rPr>
          <w:bCs/>
        </w:rPr>
        <w:t xml:space="preserve"> 288/2015.</w:t>
      </w:r>
    </w:p>
  </w:footnote>
  <w:footnote w:id="53">
    <w:p w14:paraId="1E138F3C" w14:textId="77777777" w:rsidR="00894CB7" w:rsidRPr="00B45D8D" w:rsidRDefault="00894CB7" w:rsidP="00B45D8D">
      <w:pPr>
        <w:pStyle w:val="FootnoteText"/>
        <w:rPr>
          <w:lang w:val="en-US"/>
        </w:rPr>
      </w:pPr>
      <w:r>
        <w:rPr>
          <w:rStyle w:val="FootnoteReference"/>
        </w:rPr>
        <w:footnoteRef/>
      </w:r>
      <w:r>
        <w:t xml:space="preserve"> </w:t>
      </w:r>
      <w:r>
        <w:rPr>
          <w:lang w:val="en-US"/>
        </w:rPr>
        <w:t>Regulation 9(2) of LN 288/2015.</w:t>
      </w:r>
    </w:p>
  </w:footnote>
  <w:footnote w:id="54">
    <w:p w14:paraId="34B8CB53" w14:textId="78E0FE17" w:rsidR="00894CB7" w:rsidRPr="00B45D8D" w:rsidRDefault="00894CB7">
      <w:pPr>
        <w:pStyle w:val="FootnoteText"/>
        <w:rPr>
          <w:lang w:val="en-US"/>
        </w:rPr>
      </w:pPr>
      <w:r>
        <w:rPr>
          <w:rStyle w:val="FootnoteReference"/>
        </w:rPr>
        <w:footnoteRef/>
      </w:r>
      <w:r>
        <w:t xml:space="preserve"> </w:t>
      </w:r>
      <w:r>
        <w:rPr>
          <w:lang w:val="en-US"/>
        </w:rPr>
        <w:t>Regulation 2 of LN 288/2015 defines the Ministers as the Minister responsible for Finance and the Minister responsible for the Economy, Investment and Small Business.</w:t>
      </w:r>
    </w:p>
  </w:footnote>
  <w:footnote w:id="55">
    <w:p w14:paraId="084F594C" w14:textId="35A8B99A" w:rsidR="00894CB7" w:rsidRPr="00B45D8D" w:rsidRDefault="00894CB7">
      <w:pPr>
        <w:pStyle w:val="FootnoteText"/>
        <w:rPr>
          <w:lang w:val="en-US"/>
        </w:rPr>
      </w:pPr>
      <w:r>
        <w:rPr>
          <w:rStyle w:val="FootnoteReference"/>
        </w:rPr>
        <w:footnoteRef/>
      </w:r>
      <w:r>
        <w:t xml:space="preserve"> </w:t>
      </w:r>
      <w:r>
        <w:rPr>
          <w:lang w:val="en-US"/>
        </w:rPr>
        <w:t>Regulation 9(4) of LN 288/2015.</w:t>
      </w:r>
    </w:p>
  </w:footnote>
  <w:footnote w:id="56">
    <w:p w14:paraId="3A015CE8" w14:textId="46964F97" w:rsidR="00894CB7" w:rsidRPr="00B45D8D" w:rsidRDefault="00894CB7">
      <w:pPr>
        <w:pStyle w:val="FootnoteText"/>
        <w:rPr>
          <w:lang w:val="en-US"/>
        </w:rPr>
      </w:pPr>
      <w:r>
        <w:rPr>
          <w:rStyle w:val="FootnoteReference"/>
        </w:rPr>
        <w:footnoteRef/>
      </w:r>
      <w:r>
        <w:t xml:space="preserve"> </w:t>
      </w:r>
      <w:r>
        <w:rPr>
          <w:lang w:val="en-US"/>
        </w:rPr>
        <w:t>Regulation 9(3) of LN 288/2015.</w:t>
      </w:r>
    </w:p>
  </w:footnote>
  <w:footnote w:id="57">
    <w:p w14:paraId="2D817032" w14:textId="77777777" w:rsidR="00894CB7" w:rsidRPr="002356B0" w:rsidRDefault="00894CB7" w:rsidP="00E461F3">
      <w:pPr>
        <w:pStyle w:val="FootnoteText"/>
        <w:rPr>
          <w:lang w:val="en-US"/>
        </w:rPr>
      </w:pPr>
      <w:r>
        <w:rPr>
          <w:rStyle w:val="FootnoteReference"/>
        </w:rPr>
        <w:footnoteRef/>
      </w:r>
      <w:r>
        <w:t xml:space="preserve"> </w:t>
      </w:r>
      <w:r>
        <w:rPr>
          <w:lang w:val="en-US"/>
        </w:rPr>
        <w:t>Regulation 11(1) of LN 288/2015.</w:t>
      </w:r>
    </w:p>
  </w:footnote>
  <w:footnote w:id="58">
    <w:p w14:paraId="30D7A8DF" w14:textId="5DC2DDEE" w:rsidR="00894CB7" w:rsidRDefault="00894CB7" w:rsidP="000112D6">
      <w:pPr>
        <w:pStyle w:val="FootnoteText"/>
      </w:pPr>
      <w:r>
        <w:rPr>
          <w:rStyle w:val="FootnoteReference"/>
        </w:rPr>
        <w:footnoteRef/>
      </w:r>
      <w:r>
        <w:t xml:space="preserve"> Rule 2 of LN 167/2013 defines ‘third-country national’ as any person who is not an EU citizen and specifies that EEA nationals and Swiss nationals will not be considered as third-country nationals for the purposes of the GRP rules.</w:t>
      </w:r>
    </w:p>
  </w:footnote>
  <w:footnote w:id="59">
    <w:p w14:paraId="310365DB" w14:textId="77777777" w:rsidR="00894CB7" w:rsidRPr="00E3010C" w:rsidRDefault="00894CB7" w:rsidP="0094376B">
      <w:pPr>
        <w:pStyle w:val="FootnoteText"/>
        <w:rPr>
          <w:lang w:val="en-US"/>
        </w:rPr>
      </w:pPr>
      <w:r>
        <w:rPr>
          <w:rStyle w:val="FootnoteReference"/>
        </w:rPr>
        <w:footnoteRef/>
      </w:r>
      <w:r>
        <w:t xml:space="preserve"> </w:t>
      </w:r>
      <w:r>
        <w:rPr>
          <w:lang w:val="en-US"/>
        </w:rPr>
        <w:t>See point 1.2 of Section II below.</w:t>
      </w:r>
    </w:p>
  </w:footnote>
  <w:footnote w:id="60">
    <w:p w14:paraId="477F11B0" w14:textId="10A4C390" w:rsidR="00894CB7" w:rsidRDefault="00894CB7">
      <w:pPr>
        <w:pStyle w:val="FootnoteText"/>
      </w:pPr>
      <w:r>
        <w:rPr>
          <w:rStyle w:val="FootnoteReference"/>
        </w:rPr>
        <w:footnoteRef/>
      </w:r>
      <w:r>
        <w:t xml:space="preserve"> Rule 2 of LN 167/2013 defines ‘long-term resident’ as a person who has or a person who applies for long-term resident status under the Status of Long-Term Residents (Third Country Nationals) Regulations. </w:t>
      </w:r>
    </w:p>
  </w:footnote>
  <w:footnote w:id="61">
    <w:p w14:paraId="0DFB0E21" w14:textId="78169F80" w:rsidR="00894CB7" w:rsidRDefault="00894CB7">
      <w:pPr>
        <w:pStyle w:val="FootnoteText"/>
      </w:pPr>
      <w:r>
        <w:rPr>
          <w:rStyle w:val="FootnoteReference"/>
        </w:rPr>
        <w:footnoteRef/>
      </w:r>
      <w:r>
        <w:t xml:space="preserve"> Rule 3(1) of LN 167/2013.</w:t>
      </w:r>
    </w:p>
  </w:footnote>
  <w:footnote w:id="62">
    <w:p w14:paraId="7ABBD030" w14:textId="77777777" w:rsidR="00894CB7" w:rsidRDefault="00894CB7" w:rsidP="00F3080E">
      <w:pPr>
        <w:pStyle w:val="FootnoteText"/>
      </w:pPr>
      <w:r>
        <w:rPr>
          <w:rStyle w:val="FootnoteReference"/>
        </w:rPr>
        <w:footnoteRef/>
      </w:r>
      <w:r>
        <w:t xml:space="preserve"> Rule 3(1) of LN 167/2013.</w:t>
      </w:r>
    </w:p>
  </w:footnote>
  <w:footnote w:id="63">
    <w:p w14:paraId="7A0A9A01" w14:textId="2D740706" w:rsidR="00894CB7" w:rsidRDefault="00894CB7" w:rsidP="0074306A">
      <w:pPr>
        <w:pStyle w:val="FootnoteText"/>
      </w:pPr>
      <w:r>
        <w:rPr>
          <w:rStyle w:val="FootnoteReference"/>
        </w:rPr>
        <w:footnoteRef/>
      </w:r>
      <w:r>
        <w:t xml:space="preserve"> ‘Application for special tax status: Global Residence Programme’: </w:t>
      </w:r>
      <w:hyperlink r:id="rId23" w:history="1">
        <w:r w:rsidRPr="001F25ED">
          <w:rPr>
            <w:rStyle w:val="Hyperlink"/>
          </w:rPr>
          <w:t>https://cfr.gov.mt/en/inlandrevenue/itu/Documents/grp_form_application.pdf</w:t>
        </w:r>
      </w:hyperlink>
    </w:p>
  </w:footnote>
  <w:footnote w:id="64">
    <w:p w14:paraId="20AA8398" w14:textId="36BC854B" w:rsidR="00894CB7" w:rsidRDefault="00894CB7">
      <w:pPr>
        <w:pStyle w:val="FootnoteText"/>
      </w:pPr>
      <w:r>
        <w:rPr>
          <w:rStyle w:val="FootnoteReference"/>
        </w:rPr>
        <w:footnoteRef/>
      </w:r>
      <w:r>
        <w:t xml:space="preserve"> Questionnaire in connection with the Global Residence Programme: </w:t>
      </w:r>
      <w:hyperlink r:id="rId24" w:tooltip="QUESTIONNAIRE IN CONNECTION WITH THE GLOBAL RESIDENCE PROGRAMME" w:history="1">
        <w:r w:rsidRPr="00421BD7">
          <w:rPr>
            <w:rStyle w:val="Hyperlink"/>
            <w:lang w:val="en-US"/>
          </w:rPr>
          <w:t>https://cfr.gov.mt/en/inlandrevenue/itu/Documents/grp_questionnaire.doc</w:t>
        </w:r>
      </w:hyperlink>
    </w:p>
  </w:footnote>
  <w:footnote w:id="65">
    <w:p w14:paraId="59876126" w14:textId="20364650" w:rsidR="00894CB7" w:rsidRPr="00AB1618" w:rsidRDefault="00894CB7" w:rsidP="00B6791F">
      <w:pPr>
        <w:pStyle w:val="FootnoteText"/>
        <w:rPr>
          <w:lang w:val="en-US"/>
        </w:rPr>
      </w:pPr>
      <w:r>
        <w:rPr>
          <w:rStyle w:val="FootnoteReference"/>
        </w:rPr>
        <w:footnoteRef/>
      </w:r>
      <w:r>
        <w:t xml:space="preserve"> </w:t>
      </w:r>
      <w:r>
        <w:rPr>
          <w:lang w:val="en-US"/>
        </w:rPr>
        <w:t>Rule 3(2) of LN 167/2013.</w:t>
      </w:r>
    </w:p>
  </w:footnote>
  <w:footnote w:id="66">
    <w:p w14:paraId="3A10174E" w14:textId="6D90303B" w:rsidR="00894CB7" w:rsidRDefault="00894CB7">
      <w:pPr>
        <w:pStyle w:val="FootnoteText"/>
      </w:pPr>
      <w:r>
        <w:rPr>
          <w:rStyle w:val="FootnoteReference"/>
        </w:rPr>
        <w:footnoteRef/>
      </w:r>
      <w:r>
        <w:t xml:space="preserve"> The Global Residence Programme, 2013 Guidance Notes: </w:t>
      </w:r>
      <w:hyperlink r:id="rId25" w:history="1">
        <w:r w:rsidRPr="001F25ED">
          <w:rPr>
            <w:rStyle w:val="Hyperlink"/>
          </w:rPr>
          <w:t>https://cfr.gov.mt/en/inlandrevenue/itu/Documents/grp_guidelines.pdf</w:t>
        </w:r>
      </w:hyperlink>
      <w:r>
        <w:t xml:space="preserve"> </w:t>
      </w:r>
    </w:p>
  </w:footnote>
  <w:footnote w:id="67">
    <w:p w14:paraId="0E5DAA0A" w14:textId="6C95805D" w:rsidR="00894CB7" w:rsidRDefault="00894CB7">
      <w:pPr>
        <w:pStyle w:val="FootnoteText"/>
      </w:pPr>
      <w:r>
        <w:rPr>
          <w:rStyle w:val="FootnoteReference"/>
        </w:rPr>
        <w:footnoteRef/>
      </w:r>
      <w:r>
        <w:t xml:space="preserve"> As per definition of ‘appointed day’ in Rule 2 of LN 167/2013. It is also noted that Rule 2 defines ‘these rules’ to include the provisions of Article 56(23) of the Income Tax Act and the rules contained in LN 167/2013.</w:t>
      </w:r>
    </w:p>
  </w:footnote>
  <w:footnote w:id="68">
    <w:p w14:paraId="2A758BCE" w14:textId="12751305" w:rsidR="00894CB7" w:rsidRPr="00B45D8D" w:rsidRDefault="00894CB7" w:rsidP="00B6791F">
      <w:pPr>
        <w:pStyle w:val="FootnoteText"/>
        <w:rPr>
          <w:lang w:val="en-US"/>
        </w:rPr>
      </w:pPr>
      <w:r>
        <w:rPr>
          <w:rStyle w:val="FootnoteReference"/>
        </w:rPr>
        <w:footnoteRef/>
      </w:r>
      <w:r>
        <w:t xml:space="preserve"> </w:t>
      </w:r>
      <w:r>
        <w:rPr>
          <w:lang w:val="en-US"/>
        </w:rPr>
        <w:t>Rule 6(2) of LN 167/2013.</w:t>
      </w:r>
    </w:p>
  </w:footnote>
  <w:footnote w:id="69">
    <w:p w14:paraId="719A6B7A" w14:textId="5A334C42" w:rsidR="00894CB7" w:rsidRDefault="00894CB7">
      <w:pPr>
        <w:pStyle w:val="FootnoteText"/>
      </w:pPr>
      <w:r>
        <w:rPr>
          <w:rStyle w:val="FootnoteReference"/>
        </w:rPr>
        <w:footnoteRef/>
      </w:r>
      <w:r>
        <w:t xml:space="preserve"> Rule 6(3) of LN 167/2013.</w:t>
      </w:r>
    </w:p>
  </w:footnote>
  <w:footnote w:id="70">
    <w:p w14:paraId="58F69AA4" w14:textId="4549F65E" w:rsidR="00894CB7" w:rsidRDefault="00894CB7">
      <w:pPr>
        <w:pStyle w:val="FootnoteText"/>
      </w:pPr>
      <w:r>
        <w:rPr>
          <w:rStyle w:val="FootnoteReference"/>
        </w:rPr>
        <w:footnoteRef/>
      </w:r>
      <w:r>
        <w:t xml:space="preserve"> Rule 3(4) of LN 167/2013.</w:t>
      </w:r>
    </w:p>
  </w:footnote>
  <w:footnote w:id="71">
    <w:p w14:paraId="1D7E443A" w14:textId="6F56163E" w:rsidR="00894CB7" w:rsidRPr="00B45D8D" w:rsidRDefault="00894CB7" w:rsidP="007D1AEB">
      <w:pPr>
        <w:pStyle w:val="FootnoteText"/>
        <w:rPr>
          <w:lang w:val="en-US"/>
        </w:rPr>
      </w:pPr>
      <w:r>
        <w:rPr>
          <w:rStyle w:val="FootnoteReference"/>
        </w:rPr>
        <w:footnoteRef/>
      </w:r>
      <w:r>
        <w:t xml:space="preserve"> </w:t>
      </w:r>
      <w:r>
        <w:rPr>
          <w:lang w:val="en-US"/>
        </w:rPr>
        <w:t>Regulation 2 of LN 167/2013 defines the Ministers as the Minister responsible for Finance and the Minister responsible for the Economy, Investment and Small Business. These are the same as the competent Ministers for the purposes of the MRVP.</w:t>
      </w:r>
    </w:p>
  </w:footnote>
  <w:footnote w:id="72">
    <w:p w14:paraId="100C2417" w14:textId="7FBA14EF" w:rsidR="00894CB7" w:rsidRPr="00B45D8D" w:rsidRDefault="00894CB7" w:rsidP="007D1AEB">
      <w:pPr>
        <w:pStyle w:val="FootnoteText"/>
        <w:rPr>
          <w:lang w:val="en-US"/>
        </w:rPr>
      </w:pPr>
      <w:r>
        <w:rPr>
          <w:rStyle w:val="FootnoteReference"/>
        </w:rPr>
        <w:footnoteRef/>
      </w:r>
      <w:r>
        <w:t xml:space="preserve"> </w:t>
      </w:r>
      <w:r>
        <w:rPr>
          <w:lang w:val="en-US"/>
        </w:rPr>
        <w:t>Rule 6(5) of LN 167/2013.</w:t>
      </w:r>
    </w:p>
  </w:footnote>
  <w:footnote w:id="73">
    <w:p w14:paraId="7F896FDD" w14:textId="77777777" w:rsidR="00894CB7" w:rsidRDefault="00894CB7" w:rsidP="00443D35">
      <w:pPr>
        <w:pStyle w:val="FootnoteText"/>
      </w:pPr>
      <w:r>
        <w:rPr>
          <w:rStyle w:val="FootnoteReference"/>
        </w:rPr>
        <w:footnoteRef/>
      </w:r>
      <w:r>
        <w:t xml:space="preserve"> Regulation 2 of the Immigration Regulations.</w:t>
      </w:r>
    </w:p>
  </w:footnote>
  <w:footnote w:id="74">
    <w:p w14:paraId="6694C3F0" w14:textId="02088B6A" w:rsidR="00894CB7" w:rsidRDefault="00894CB7">
      <w:pPr>
        <w:pStyle w:val="FootnoteText"/>
      </w:pPr>
      <w:r>
        <w:rPr>
          <w:rStyle w:val="FootnoteReference"/>
        </w:rPr>
        <w:footnoteRef/>
      </w:r>
      <w:r>
        <w:t xml:space="preserve"> Regulation 12(1) of LN 288/2015.</w:t>
      </w:r>
    </w:p>
  </w:footnote>
  <w:footnote w:id="75">
    <w:p w14:paraId="32884579" w14:textId="77777777" w:rsidR="00894CB7" w:rsidRDefault="00894CB7" w:rsidP="00594C82">
      <w:pPr>
        <w:pStyle w:val="FootnoteText"/>
      </w:pPr>
      <w:r>
        <w:rPr>
          <w:rStyle w:val="FootnoteReference"/>
        </w:rPr>
        <w:footnoteRef/>
      </w:r>
      <w:r>
        <w:t xml:space="preserve"> Information confirmed through stakeholder consultation with MRVA representative on 7 March 2018.</w:t>
      </w:r>
    </w:p>
  </w:footnote>
  <w:footnote w:id="76">
    <w:p w14:paraId="3B0D5DC3" w14:textId="5A873AD4" w:rsidR="00894CB7" w:rsidRPr="00D46E25" w:rsidRDefault="00894CB7">
      <w:pPr>
        <w:pStyle w:val="FootnoteText"/>
        <w:rPr>
          <w:lang w:val="en-US"/>
        </w:rPr>
      </w:pPr>
      <w:r>
        <w:rPr>
          <w:rStyle w:val="FootnoteReference"/>
        </w:rPr>
        <w:footnoteRef/>
      </w:r>
      <w:r>
        <w:t xml:space="preserve"> </w:t>
      </w:r>
      <w:r>
        <w:rPr>
          <w:lang w:val="en-US"/>
        </w:rPr>
        <w:t>Regulation 12(4) and (5) of LN 288/2015.</w:t>
      </w:r>
    </w:p>
  </w:footnote>
  <w:footnote w:id="77">
    <w:p w14:paraId="46B7508C" w14:textId="77777777" w:rsidR="00894CB7" w:rsidRPr="00D46E25" w:rsidRDefault="00894CB7" w:rsidP="00D10627">
      <w:pPr>
        <w:pStyle w:val="FootnoteText"/>
        <w:rPr>
          <w:lang w:val="en-US"/>
        </w:rPr>
      </w:pPr>
      <w:r>
        <w:rPr>
          <w:rStyle w:val="FootnoteReference"/>
        </w:rPr>
        <w:footnoteRef/>
      </w:r>
      <w:r>
        <w:t xml:space="preserve"> </w:t>
      </w:r>
      <w:r>
        <w:rPr>
          <w:lang w:val="en-US"/>
        </w:rPr>
        <w:t>Regulation 12(6) of LN 288/2015.</w:t>
      </w:r>
    </w:p>
  </w:footnote>
  <w:footnote w:id="78">
    <w:p w14:paraId="6AC6ED13" w14:textId="77777777" w:rsidR="00894CB7" w:rsidRPr="00D42CEC" w:rsidRDefault="00894CB7" w:rsidP="000E7600">
      <w:pPr>
        <w:pStyle w:val="FootnoteText"/>
        <w:rPr>
          <w:lang w:val="en-US"/>
        </w:rPr>
      </w:pPr>
      <w:r>
        <w:rPr>
          <w:rStyle w:val="FootnoteReference"/>
        </w:rPr>
        <w:footnoteRef/>
      </w:r>
      <w:r>
        <w:t xml:space="preserve"> To date, the MRVA website is still temporary and contains very scarce information about the scheme and the agency, and a contact form: </w:t>
      </w:r>
      <w:hyperlink r:id="rId26" w:history="1">
        <w:r w:rsidRPr="00054C86">
          <w:rPr>
            <w:rStyle w:val="Hyperlink"/>
          </w:rPr>
          <w:t>https://www.maltaresidencevisaprogramme.com</w:t>
        </w:r>
      </w:hyperlink>
      <w:r>
        <w:t xml:space="preserve"> </w:t>
      </w:r>
    </w:p>
  </w:footnote>
  <w:footnote w:id="79">
    <w:p w14:paraId="6274E76A" w14:textId="77777777" w:rsidR="00894CB7" w:rsidRPr="00EC6EE5" w:rsidRDefault="00894CB7" w:rsidP="006A43F4">
      <w:pPr>
        <w:pStyle w:val="FootnoteText"/>
        <w:rPr>
          <w:lang w:val="en-US"/>
        </w:rPr>
      </w:pPr>
      <w:r>
        <w:rPr>
          <w:rStyle w:val="FootnoteReference"/>
        </w:rPr>
        <w:footnoteRef/>
      </w:r>
      <w:r>
        <w:t xml:space="preserve"> </w:t>
      </w:r>
      <w:r>
        <w:rPr>
          <w:lang w:val="en-US"/>
        </w:rPr>
        <w:t xml:space="preserve">Identity Malta, </w:t>
      </w:r>
      <w:r>
        <w:t xml:space="preserve">Accredited Person – Code of Conduct: </w:t>
      </w:r>
      <w:hyperlink r:id="rId27" w:history="1">
        <w:r w:rsidRPr="00FE7C4A">
          <w:rPr>
            <w:rStyle w:val="Hyperlink"/>
          </w:rPr>
          <w:t>http://iip.gov.mt/wp-content/uploads/2014/02/Malta-IIP-Code-of-Conduct-2.pdf</w:t>
        </w:r>
      </w:hyperlink>
      <w:r>
        <w:t xml:space="preserve"> </w:t>
      </w:r>
    </w:p>
  </w:footnote>
  <w:footnote w:id="80">
    <w:p w14:paraId="39DEB79B" w14:textId="77777777" w:rsidR="00894CB7" w:rsidRPr="00EC6EE5" w:rsidRDefault="00894CB7" w:rsidP="006A43F4">
      <w:pPr>
        <w:pStyle w:val="FootnoteText"/>
        <w:rPr>
          <w:lang w:val="en-US"/>
        </w:rPr>
      </w:pPr>
      <w:r>
        <w:rPr>
          <w:rStyle w:val="FootnoteReference"/>
        </w:rPr>
        <w:footnoteRef/>
      </w:r>
      <w:r>
        <w:t xml:space="preserve"> </w:t>
      </w:r>
      <w:r>
        <w:rPr>
          <w:lang w:val="en-US"/>
        </w:rPr>
        <w:t xml:space="preserve">The EUR </w:t>
      </w:r>
      <w:r w:rsidRPr="00EC6EE5">
        <w:rPr>
          <w:lang w:val="en-US"/>
        </w:rPr>
        <w:t xml:space="preserve">650,000 contribution to the National Development and Social Fund </w:t>
      </w:r>
      <w:r>
        <w:rPr>
          <w:lang w:val="en-US"/>
        </w:rPr>
        <w:t>can only be referred to as</w:t>
      </w:r>
      <w:r w:rsidRPr="00EC6EE5">
        <w:rPr>
          <w:lang w:val="en-US"/>
        </w:rPr>
        <w:t xml:space="preserve"> ‘contribution’, while the</w:t>
      </w:r>
      <w:r>
        <w:rPr>
          <w:lang w:val="en-US"/>
        </w:rPr>
        <w:t xml:space="preserve"> EUR </w:t>
      </w:r>
      <w:r w:rsidRPr="00EC6EE5">
        <w:rPr>
          <w:lang w:val="en-US"/>
        </w:rPr>
        <w:t>150,000 investment requirement in</w:t>
      </w:r>
      <w:r>
        <w:rPr>
          <w:lang w:val="en-US"/>
        </w:rPr>
        <w:t xml:space="preserve"> </w:t>
      </w:r>
      <w:r w:rsidRPr="00EC6EE5">
        <w:rPr>
          <w:lang w:val="en-US"/>
        </w:rPr>
        <w:t>stocks, bonds, debentures, special</w:t>
      </w:r>
      <w:r>
        <w:rPr>
          <w:lang w:val="en-US"/>
        </w:rPr>
        <w:t xml:space="preserve"> </w:t>
      </w:r>
      <w:r w:rsidRPr="00EC6EE5">
        <w:rPr>
          <w:lang w:val="en-US"/>
        </w:rPr>
        <w:t>purpose vehicles or other investments as identified by Identity Malta Agency</w:t>
      </w:r>
      <w:r>
        <w:rPr>
          <w:lang w:val="en-US"/>
        </w:rPr>
        <w:t>, or other,</w:t>
      </w:r>
      <w:r w:rsidRPr="00EC6EE5">
        <w:rPr>
          <w:lang w:val="en-US"/>
        </w:rPr>
        <w:t xml:space="preserve"> </w:t>
      </w:r>
      <w:r>
        <w:rPr>
          <w:lang w:val="en-US"/>
        </w:rPr>
        <w:t xml:space="preserve">as </w:t>
      </w:r>
      <w:r w:rsidRPr="00EC6EE5">
        <w:rPr>
          <w:lang w:val="en-US"/>
        </w:rPr>
        <w:t>‘investment’.</w:t>
      </w:r>
      <w:r>
        <w:rPr>
          <w:lang w:val="en-US"/>
        </w:rPr>
        <w:t xml:space="preserve"> Identity Malta, </w:t>
      </w:r>
      <w:r>
        <w:t xml:space="preserve">Accredited Person – Code of Conduct: </w:t>
      </w:r>
      <w:hyperlink r:id="rId28" w:history="1">
        <w:r w:rsidRPr="00FE7C4A">
          <w:rPr>
            <w:rStyle w:val="Hyperlink"/>
          </w:rPr>
          <w:t>http://iip.gov.mt/wp-content/uploads/2014/02/Malta-IIP-Code-of-Conduct-2.pdf</w:t>
        </w:r>
      </w:hyperlink>
    </w:p>
  </w:footnote>
  <w:footnote w:id="81">
    <w:p w14:paraId="6C81DA0D" w14:textId="77777777" w:rsidR="00894CB7" w:rsidRDefault="00894CB7" w:rsidP="000E7600">
      <w:pPr>
        <w:pStyle w:val="FootnoteText"/>
      </w:pPr>
      <w:r>
        <w:rPr>
          <w:rStyle w:val="FootnoteReference"/>
        </w:rPr>
        <w:footnoteRef/>
      </w:r>
      <w:r>
        <w:t xml:space="preserve"> Information obtained through stakeholder consultation with MRVA representative on 7 March 2018.</w:t>
      </w:r>
    </w:p>
  </w:footnote>
  <w:footnote w:id="82">
    <w:p w14:paraId="4C971125" w14:textId="77777777" w:rsidR="00894CB7" w:rsidRPr="00D46E25" w:rsidRDefault="00894CB7" w:rsidP="000E7600">
      <w:pPr>
        <w:pStyle w:val="FootnoteText"/>
        <w:rPr>
          <w:lang w:val="en-US"/>
        </w:rPr>
      </w:pPr>
      <w:r>
        <w:rPr>
          <w:rStyle w:val="FootnoteReference"/>
        </w:rPr>
        <w:footnoteRef/>
      </w:r>
      <w:r>
        <w:t xml:space="preserve"> </w:t>
      </w:r>
      <w:r>
        <w:rPr>
          <w:lang w:val="en-US"/>
        </w:rPr>
        <w:t>Regulation 12(7) of LN 288/2015.</w:t>
      </w:r>
    </w:p>
  </w:footnote>
  <w:footnote w:id="83">
    <w:p w14:paraId="5A798BFC" w14:textId="77777777" w:rsidR="00894CB7" w:rsidRPr="00D46E25" w:rsidRDefault="00894CB7" w:rsidP="000E7600">
      <w:pPr>
        <w:pStyle w:val="FootnoteText"/>
        <w:rPr>
          <w:lang w:val="en-US"/>
        </w:rPr>
      </w:pPr>
      <w:r>
        <w:rPr>
          <w:rStyle w:val="FootnoteReference"/>
        </w:rPr>
        <w:footnoteRef/>
      </w:r>
      <w:r>
        <w:t xml:space="preserve"> </w:t>
      </w:r>
      <w:r>
        <w:rPr>
          <w:lang w:val="en-US"/>
        </w:rPr>
        <w:t>Regulation 12(8) of LN 288/2015.</w:t>
      </w:r>
    </w:p>
  </w:footnote>
  <w:footnote w:id="84">
    <w:p w14:paraId="1F493B8C" w14:textId="77777777" w:rsidR="00894CB7" w:rsidRPr="00624033" w:rsidRDefault="00894CB7" w:rsidP="000E7600">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29" w:history="1">
        <w:r w:rsidRPr="00FE7C4A">
          <w:rPr>
            <w:rStyle w:val="Hyperlink"/>
            <w:lang w:val="en-US"/>
          </w:rPr>
          <w:t>https://identitymalta.com/wp-content/uploads/2016/05/FAQ-V5.0.pdf</w:t>
        </w:r>
      </w:hyperlink>
      <w:r>
        <w:rPr>
          <w:lang w:val="en-US"/>
        </w:rPr>
        <w:t xml:space="preserve"> </w:t>
      </w:r>
    </w:p>
  </w:footnote>
  <w:footnote w:id="85">
    <w:p w14:paraId="577E29D9" w14:textId="77777777" w:rsidR="00894CB7" w:rsidRPr="0037344C" w:rsidRDefault="00894CB7" w:rsidP="000E7600">
      <w:pPr>
        <w:pStyle w:val="FootnoteText"/>
        <w:rPr>
          <w:lang w:val="en-US"/>
        </w:rPr>
      </w:pPr>
      <w:r>
        <w:rPr>
          <w:rStyle w:val="FootnoteReference"/>
        </w:rPr>
        <w:footnoteRef/>
      </w:r>
      <w:r>
        <w:t xml:space="preserve"> </w:t>
      </w:r>
      <w:r>
        <w:rPr>
          <w:lang w:val="en-US"/>
        </w:rPr>
        <w:t xml:space="preserve">Discus Holdings Limited, About us: </w:t>
      </w:r>
      <w:hyperlink r:id="rId30" w:history="1">
        <w:r w:rsidRPr="00FE7C4A">
          <w:rPr>
            <w:rStyle w:val="Hyperlink"/>
            <w:lang w:val="en-US"/>
          </w:rPr>
          <w:t>http://www.discusholdings.com/wp-content/themes/discus/img/certificate.jpg</w:t>
        </w:r>
      </w:hyperlink>
      <w:r>
        <w:rPr>
          <w:lang w:val="en-US"/>
        </w:rPr>
        <w:t xml:space="preserve"> </w:t>
      </w:r>
    </w:p>
  </w:footnote>
  <w:footnote w:id="86">
    <w:p w14:paraId="4F50669F" w14:textId="58630779" w:rsidR="00894CB7" w:rsidRDefault="00894CB7">
      <w:pPr>
        <w:pStyle w:val="FootnoteText"/>
      </w:pPr>
      <w:r>
        <w:rPr>
          <w:rStyle w:val="FootnoteReference"/>
        </w:rPr>
        <w:footnoteRef/>
      </w:r>
      <w:r>
        <w:t xml:space="preserve"> Information confirmed through stakeholder consultation with MRVA representative on 7 March 2018.</w:t>
      </w:r>
    </w:p>
  </w:footnote>
  <w:footnote w:id="87">
    <w:p w14:paraId="0937FCB7" w14:textId="1527A900" w:rsidR="00894CB7" w:rsidRDefault="00894CB7" w:rsidP="009F1716">
      <w:pPr>
        <w:pStyle w:val="FootnoteText"/>
      </w:pPr>
      <w:r>
        <w:rPr>
          <w:rStyle w:val="FootnoteReference"/>
        </w:rPr>
        <w:footnoteRef/>
      </w:r>
      <w:r>
        <w:t xml:space="preserve"> Rule 3(1) of LN 167/2013.</w:t>
      </w:r>
    </w:p>
  </w:footnote>
  <w:footnote w:id="88">
    <w:p w14:paraId="5FC2C577" w14:textId="33790748" w:rsidR="00894CB7" w:rsidRDefault="00894CB7">
      <w:pPr>
        <w:pStyle w:val="FootnoteText"/>
      </w:pPr>
      <w:r>
        <w:rPr>
          <w:rStyle w:val="FootnoteReference"/>
        </w:rPr>
        <w:footnoteRef/>
      </w:r>
      <w:r>
        <w:t xml:space="preserve"> Rule 10(3) of LN 167/2013. Further information on authorised mandatories is available on the Commissioner for Revenue’s website: </w:t>
      </w:r>
      <w:hyperlink r:id="rId31" w:history="1">
        <w:r w:rsidRPr="00351BFE">
          <w:rPr>
            <w:rStyle w:val="Hyperlink"/>
          </w:rPr>
          <w:t>https://cfr.gov.mt/en/inlandrevenue/itu/Documents/hnwi_guide_arm.pdf</w:t>
        </w:r>
      </w:hyperlink>
      <w:r>
        <w:t xml:space="preserve">. </w:t>
      </w:r>
    </w:p>
  </w:footnote>
  <w:footnote w:id="89">
    <w:p w14:paraId="6D1254E6" w14:textId="73464F2C" w:rsidR="00894CB7" w:rsidRDefault="00894CB7">
      <w:pPr>
        <w:pStyle w:val="FootnoteText"/>
      </w:pPr>
      <w:r>
        <w:rPr>
          <w:rStyle w:val="FootnoteReference"/>
        </w:rPr>
        <w:footnoteRef/>
      </w:r>
      <w:r>
        <w:t xml:space="preserve"> Rules 2 and 10(4) of LN 167/2013.</w:t>
      </w:r>
    </w:p>
  </w:footnote>
  <w:footnote w:id="90">
    <w:p w14:paraId="66DF18EE" w14:textId="15D3B9A4" w:rsidR="00894CB7" w:rsidRDefault="00894CB7">
      <w:pPr>
        <w:pStyle w:val="FootnoteText"/>
      </w:pPr>
      <w:r>
        <w:rPr>
          <w:rStyle w:val="FootnoteReference"/>
        </w:rPr>
        <w:footnoteRef/>
      </w:r>
      <w:r>
        <w:t xml:space="preserve"> Rule 10(5) and (6) of LN167/2013.</w:t>
      </w:r>
    </w:p>
  </w:footnote>
  <w:footnote w:id="91">
    <w:p w14:paraId="6975A280" w14:textId="3EF3FC34" w:rsidR="00894CB7" w:rsidRPr="00D46E25" w:rsidRDefault="00894CB7" w:rsidP="003A0B61">
      <w:pPr>
        <w:pStyle w:val="FootnoteText"/>
        <w:rPr>
          <w:lang w:val="en-US"/>
        </w:rPr>
      </w:pPr>
      <w:r>
        <w:rPr>
          <w:rStyle w:val="FootnoteReference"/>
        </w:rPr>
        <w:footnoteRef/>
      </w:r>
      <w:r>
        <w:t xml:space="preserve"> </w:t>
      </w:r>
      <w:r>
        <w:rPr>
          <w:lang w:val="en-US"/>
        </w:rPr>
        <w:t>Rule 10(7) of LN 167/2013.</w:t>
      </w:r>
    </w:p>
  </w:footnote>
  <w:footnote w:id="92">
    <w:p w14:paraId="60E80255" w14:textId="11B4E4C5" w:rsidR="00894CB7" w:rsidRPr="00D46E25" w:rsidRDefault="00894CB7" w:rsidP="003A0B61">
      <w:pPr>
        <w:pStyle w:val="FootnoteText"/>
        <w:rPr>
          <w:lang w:val="en-US"/>
        </w:rPr>
      </w:pPr>
      <w:r>
        <w:rPr>
          <w:rStyle w:val="FootnoteReference"/>
        </w:rPr>
        <w:footnoteRef/>
      </w:r>
      <w:r>
        <w:t xml:space="preserve"> </w:t>
      </w:r>
      <w:r>
        <w:rPr>
          <w:lang w:val="en-US"/>
        </w:rPr>
        <w:t>Rule 10(8) of LN 167/2013.</w:t>
      </w:r>
    </w:p>
  </w:footnote>
  <w:footnote w:id="93">
    <w:p w14:paraId="01CEA433" w14:textId="4CFD474E" w:rsidR="00894CB7" w:rsidRPr="00B52D41" w:rsidRDefault="00894CB7">
      <w:pPr>
        <w:pStyle w:val="FootnoteText"/>
        <w:rPr>
          <w:lang w:val="en-US"/>
        </w:rPr>
      </w:pPr>
      <w:r>
        <w:rPr>
          <w:rStyle w:val="FootnoteReference"/>
        </w:rPr>
        <w:footnoteRef/>
      </w:r>
      <w:r>
        <w:t xml:space="preserve"> </w:t>
      </w:r>
      <w:r>
        <w:rPr>
          <w:lang w:val="en-US"/>
        </w:rPr>
        <w:t>Regulation 10(1) of LN 288/2015.</w:t>
      </w:r>
    </w:p>
  </w:footnote>
  <w:footnote w:id="94">
    <w:p w14:paraId="40B8CE8D" w14:textId="1CD65036" w:rsidR="00894CB7" w:rsidRDefault="00894CB7">
      <w:pPr>
        <w:pStyle w:val="FootnoteText"/>
      </w:pPr>
      <w:r>
        <w:rPr>
          <w:rStyle w:val="FootnoteReference"/>
        </w:rPr>
        <w:footnoteRef/>
      </w:r>
      <w:r>
        <w:t xml:space="preserve"> Rule 7(1) of LN 167/2013.</w:t>
      </w:r>
    </w:p>
  </w:footnote>
  <w:footnote w:id="95">
    <w:p w14:paraId="55DA07D0" w14:textId="3159F41E" w:rsidR="00894CB7" w:rsidRPr="0056277E" w:rsidRDefault="00894CB7">
      <w:pPr>
        <w:pStyle w:val="FootnoteText"/>
        <w:rPr>
          <w:lang w:val="en-US"/>
        </w:rPr>
      </w:pPr>
      <w:r>
        <w:rPr>
          <w:rStyle w:val="FootnoteReference"/>
        </w:rPr>
        <w:footnoteRef/>
      </w:r>
      <w:r>
        <w:t xml:space="preserve"> </w:t>
      </w:r>
      <w:r>
        <w:rPr>
          <w:lang w:val="en-US"/>
        </w:rPr>
        <w:t>Regulation 10(2) of LN 288/2015.</w:t>
      </w:r>
    </w:p>
  </w:footnote>
  <w:footnote w:id="96">
    <w:p w14:paraId="0D561E2E" w14:textId="671CA582" w:rsidR="00894CB7" w:rsidRDefault="00894CB7">
      <w:pPr>
        <w:pStyle w:val="FootnoteText"/>
      </w:pPr>
      <w:r>
        <w:rPr>
          <w:rStyle w:val="FootnoteReference"/>
        </w:rPr>
        <w:footnoteRef/>
      </w:r>
      <w:r>
        <w:t xml:space="preserve"> Rule 7(2) of LN 167/2013.</w:t>
      </w:r>
    </w:p>
  </w:footnote>
  <w:footnote w:id="97">
    <w:p w14:paraId="0019B085" w14:textId="07E7C058" w:rsidR="00894CB7" w:rsidRPr="002356B0" w:rsidRDefault="00894CB7">
      <w:pPr>
        <w:pStyle w:val="FootnoteText"/>
        <w:rPr>
          <w:lang w:val="en-US"/>
        </w:rPr>
      </w:pPr>
      <w:r>
        <w:rPr>
          <w:rStyle w:val="FootnoteReference"/>
        </w:rPr>
        <w:footnoteRef/>
      </w:r>
      <w:r>
        <w:t xml:space="preserve"> </w:t>
      </w:r>
      <w:r>
        <w:rPr>
          <w:lang w:val="en-US"/>
        </w:rPr>
        <w:t>Regulation 11(1) of LN 288/2015.</w:t>
      </w:r>
    </w:p>
  </w:footnote>
  <w:footnote w:id="98">
    <w:p w14:paraId="0F0CD2CE" w14:textId="67CADEE9"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99">
    <w:p w14:paraId="60B91327" w14:textId="10501A25" w:rsidR="00894CB7" w:rsidRDefault="00894CB7">
      <w:pPr>
        <w:pStyle w:val="FootnoteText"/>
      </w:pPr>
      <w:r>
        <w:rPr>
          <w:rStyle w:val="FootnoteReference"/>
        </w:rPr>
        <w:footnoteRef/>
      </w:r>
      <w:r>
        <w:t xml:space="preserve"> Statistics obtained through stakeholder consultation with MRVA representative on 7 March 2018.</w:t>
      </w:r>
    </w:p>
  </w:footnote>
  <w:footnote w:id="100">
    <w:p w14:paraId="5C6A39B7" w14:textId="77777777" w:rsidR="00894CB7" w:rsidRDefault="00894CB7" w:rsidP="000E06A6">
      <w:pPr>
        <w:pStyle w:val="FootnoteText"/>
      </w:pPr>
      <w:r>
        <w:rPr>
          <w:rStyle w:val="FootnoteReference"/>
        </w:rPr>
        <w:footnoteRef/>
      </w:r>
      <w:r>
        <w:t xml:space="preserve"> Statistics obtained through stakeholder consultation with MRVA representative on 7 March 2018.</w:t>
      </w:r>
    </w:p>
  </w:footnote>
  <w:footnote w:id="101">
    <w:p w14:paraId="7FCE8A0D" w14:textId="3C531B4D" w:rsidR="00894CB7" w:rsidRPr="0069270A" w:rsidRDefault="00894CB7">
      <w:pPr>
        <w:pStyle w:val="FootnoteText"/>
        <w:rPr>
          <w:lang w:val="en-US"/>
        </w:rPr>
      </w:pPr>
      <w:r>
        <w:rPr>
          <w:rStyle w:val="FootnoteReference"/>
        </w:rPr>
        <w:footnoteRef/>
      </w:r>
      <w:r>
        <w:t xml:space="preserve"> </w:t>
      </w:r>
      <w:r>
        <w:rPr>
          <w:lang w:val="en-US"/>
        </w:rPr>
        <w:t>Regulation 2 of LN 288/2015.</w:t>
      </w:r>
    </w:p>
  </w:footnote>
  <w:footnote w:id="102">
    <w:p w14:paraId="59F8B1C7" w14:textId="28CF1EBE" w:rsidR="00894CB7" w:rsidRPr="0038535C" w:rsidRDefault="00894CB7">
      <w:pPr>
        <w:pStyle w:val="FootnoteText"/>
        <w:rPr>
          <w:lang w:val="en-US"/>
        </w:rPr>
      </w:pPr>
      <w:r>
        <w:rPr>
          <w:rStyle w:val="FootnoteReference"/>
        </w:rPr>
        <w:footnoteRef/>
      </w:r>
      <w:r>
        <w:t xml:space="preserve"> </w:t>
      </w:r>
      <w:r>
        <w:rPr>
          <w:lang w:val="en-US"/>
        </w:rPr>
        <w:t>Regulation 2 of LN 288/2015.</w:t>
      </w:r>
    </w:p>
  </w:footnote>
  <w:footnote w:id="103">
    <w:p w14:paraId="7B506BDF" w14:textId="77777777" w:rsidR="00894CB7" w:rsidRPr="00793E02" w:rsidRDefault="00894CB7" w:rsidP="00FC0F9A">
      <w:pPr>
        <w:pStyle w:val="FootnoteText"/>
        <w:rPr>
          <w:lang w:val="en-US"/>
        </w:rPr>
      </w:pPr>
      <w:r>
        <w:rPr>
          <w:rStyle w:val="FootnoteReference"/>
        </w:rPr>
        <w:footnoteRef/>
      </w:r>
      <w:r>
        <w:t xml:space="preserve"> </w:t>
      </w:r>
      <w:r>
        <w:rPr>
          <w:lang w:val="en-US"/>
        </w:rPr>
        <w:t>Regulation 2 of LN 288/2015 defines ‘not economically active’ as ‘a person who is not working and not seeking work or not available for work’.</w:t>
      </w:r>
    </w:p>
  </w:footnote>
  <w:footnote w:id="104">
    <w:p w14:paraId="313F47F7" w14:textId="1E514ED2" w:rsidR="00894CB7" w:rsidRPr="0069270A" w:rsidRDefault="00894CB7">
      <w:pPr>
        <w:pStyle w:val="FootnoteText"/>
        <w:rPr>
          <w:lang w:val="en-US"/>
        </w:rPr>
      </w:pPr>
      <w:r>
        <w:rPr>
          <w:rStyle w:val="FootnoteReference"/>
        </w:rPr>
        <w:footnoteRef/>
      </w:r>
      <w:r>
        <w:t xml:space="preserve"> </w:t>
      </w:r>
      <w:r>
        <w:rPr>
          <w:lang w:val="en-US"/>
        </w:rPr>
        <w:t xml:space="preserve">Chapter 413 of the Laws of Malta, Equal Opportunities (Persons with Disability) Act, 10 February 2000, Act I of 2000 as last amended by Act XXIV of 2016: </w:t>
      </w:r>
      <w:hyperlink r:id="rId32" w:history="1">
        <w:r w:rsidRPr="00276DEC">
          <w:rPr>
            <w:rStyle w:val="Hyperlink"/>
            <w:lang w:val="en-US"/>
          </w:rPr>
          <w:t>http://www.justiceservices.gov.mt/DownloadDocument.aspx?app=lom&amp;itemid=8879&amp;l=1</w:t>
        </w:r>
      </w:hyperlink>
      <w:r>
        <w:rPr>
          <w:lang w:val="en-US"/>
        </w:rPr>
        <w:t xml:space="preserve">. </w:t>
      </w:r>
    </w:p>
  </w:footnote>
  <w:footnote w:id="105">
    <w:p w14:paraId="574753F4" w14:textId="77777777" w:rsidR="00894CB7" w:rsidRPr="00F01711" w:rsidRDefault="00894CB7" w:rsidP="00FC0F9A">
      <w:pPr>
        <w:pStyle w:val="FootnoteText"/>
        <w:rPr>
          <w:lang w:val="en-US"/>
        </w:rPr>
      </w:pPr>
      <w:r>
        <w:rPr>
          <w:rStyle w:val="FootnoteReference"/>
        </w:rPr>
        <w:footnoteRef/>
      </w:r>
      <w:r>
        <w:t xml:space="preserve"> </w:t>
      </w:r>
      <w:r>
        <w:rPr>
          <w:lang w:val="en-US"/>
        </w:rPr>
        <w:t>Regulation 5(5) of LN 288/2015.</w:t>
      </w:r>
    </w:p>
  </w:footnote>
  <w:footnote w:id="106">
    <w:p w14:paraId="666CA0EA" w14:textId="77777777" w:rsidR="00894CB7" w:rsidRPr="00F01711" w:rsidRDefault="00894CB7" w:rsidP="00FC0F9A">
      <w:pPr>
        <w:pStyle w:val="FootnoteText"/>
        <w:rPr>
          <w:lang w:val="en-US"/>
        </w:rPr>
      </w:pPr>
      <w:r>
        <w:rPr>
          <w:rStyle w:val="FootnoteReference"/>
        </w:rPr>
        <w:footnoteRef/>
      </w:r>
      <w:r>
        <w:t xml:space="preserve"> </w:t>
      </w:r>
      <w:r>
        <w:rPr>
          <w:lang w:val="en-US"/>
        </w:rPr>
        <w:t>Regulation 5(8) of LN 288/2015.</w:t>
      </w:r>
    </w:p>
  </w:footnote>
  <w:footnote w:id="107">
    <w:p w14:paraId="706612B6" w14:textId="77777777" w:rsidR="00894CB7" w:rsidRPr="00DE15D4" w:rsidRDefault="00894CB7" w:rsidP="00FC0F9A">
      <w:pPr>
        <w:pStyle w:val="FootnoteText"/>
        <w:rPr>
          <w:lang w:val="en-US"/>
        </w:rPr>
      </w:pPr>
      <w:r>
        <w:rPr>
          <w:rStyle w:val="FootnoteReference"/>
        </w:rPr>
        <w:footnoteRef/>
      </w:r>
      <w:r>
        <w:t xml:space="preserve"> </w:t>
      </w:r>
      <w:r>
        <w:rPr>
          <w:lang w:val="en-US"/>
        </w:rPr>
        <w:t>Regulation 5(6) of LN 288/2015.</w:t>
      </w:r>
    </w:p>
  </w:footnote>
  <w:footnote w:id="108">
    <w:p w14:paraId="16E8CAED" w14:textId="77777777" w:rsidR="00894CB7" w:rsidRPr="00DE15D4" w:rsidRDefault="00894CB7" w:rsidP="00FC0F9A">
      <w:pPr>
        <w:pStyle w:val="FootnoteText"/>
        <w:rPr>
          <w:lang w:val="en-US"/>
        </w:rPr>
      </w:pPr>
      <w:r>
        <w:rPr>
          <w:rStyle w:val="FootnoteReference"/>
        </w:rPr>
        <w:footnoteRef/>
      </w:r>
      <w:r>
        <w:t xml:space="preserve"> </w:t>
      </w:r>
      <w:r>
        <w:rPr>
          <w:lang w:val="en-US"/>
        </w:rPr>
        <w:t>Regulation 5(7) of LN 288/2015.</w:t>
      </w:r>
    </w:p>
  </w:footnote>
  <w:footnote w:id="109">
    <w:p w14:paraId="7BBDB4D8" w14:textId="77777777" w:rsidR="00894CB7" w:rsidRPr="00DE15D4" w:rsidRDefault="00894CB7" w:rsidP="00FC0F9A">
      <w:pPr>
        <w:pStyle w:val="FootnoteText"/>
        <w:rPr>
          <w:lang w:val="en-US"/>
        </w:rPr>
      </w:pPr>
      <w:r>
        <w:rPr>
          <w:rStyle w:val="FootnoteReference"/>
        </w:rPr>
        <w:footnoteRef/>
      </w:r>
      <w:r>
        <w:t xml:space="preserve"> Regulation 5(7), proviso of LN 288/2015.</w:t>
      </w:r>
    </w:p>
  </w:footnote>
  <w:footnote w:id="110">
    <w:p w14:paraId="37CFBF00" w14:textId="77777777" w:rsidR="00894CB7" w:rsidRPr="003875FD" w:rsidRDefault="00894CB7" w:rsidP="00FC0F9A">
      <w:pPr>
        <w:pStyle w:val="FootnoteText"/>
        <w:rPr>
          <w:lang w:val="en-US"/>
        </w:rPr>
      </w:pPr>
      <w:r>
        <w:rPr>
          <w:rStyle w:val="FootnoteReference"/>
        </w:rPr>
        <w:footnoteRef/>
      </w:r>
      <w:r>
        <w:t xml:space="preserve"> </w:t>
      </w:r>
      <w:r>
        <w:rPr>
          <w:lang w:val="en-US"/>
        </w:rPr>
        <w:t>Regulation 6(5) of LN 288/2015.</w:t>
      </w:r>
    </w:p>
  </w:footnote>
  <w:footnote w:id="111">
    <w:p w14:paraId="37DF38A5" w14:textId="77777777" w:rsidR="00894CB7" w:rsidRPr="007906B9" w:rsidRDefault="00894CB7" w:rsidP="00FC0F9A">
      <w:pPr>
        <w:pStyle w:val="FootnoteText"/>
        <w:rPr>
          <w:lang w:val="en-US"/>
        </w:rPr>
      </w:pPr>
      <w:r>
        <w:rPr>
          <w:rStyle w:val="FootnoteReference"/>
        </w:rPr>
        <w:footnoteRef/>
      </w:r>
      <w:r>
        <w:t xml:space="preserve"> </w:t>
      </w:r>
      <w:r>
        <w:rPr>
          <w:lang w:val="en-US"/>
        </w:rPr>
        <w:t>Regulation 8(2) of LN 288/2015.</w:t>
      </w:r>
    </w:p>
  </w:footnote>
  <w:footnote w:id="112">
    <w:p w14:paraId="1D828D9F" w14:textId="3E4DEC8D" w:rsidR="00894CB7" w:rsidRDefault="00894CB7" w:rsidP="00A43535">
      <w:pPr>
        <w:pStyle w:val="FootnoteText"/>
      </w:pPr>
      <w:r>
        <w:rPr>
          <w:rStyle w:val="FootnoteReference"/>
        </w:rPr>
        <w:footnoteRef/>
      </w:r>
      <w:r>
        <w:t xml:space="preserve"> Statistics obtained through stakeholder consultation with MRVA representative on 7 March 2018.</w:t>
      </w:r>
    </w:p>
  </w:footnote>
  <w:footnote w:id="113">
    <w:p w14:paraId="598FC9CC" w14:textId="47066B7A" w:rsidR="00894CB7" w:rsidRDefault="00894CB7">
      <w:pPr>
        <w:pStyle w:val="FootnoteText"/>
      </w:pPr>
      <w:r>
        <w:rPr>
          <w:rStyle w:val="FootnoteReference"/>
        </w:rPr>
        <w:footnoteRef/>
      </w:r>
      <w:r>
        <w:t xml:space="preserve"> Rule 2 of LN 167/2013 defines ‘not economically active' as ‘a person who is not working and not seeking work or not available for work’. This is the same as the definition provided by </w:t>
      </w:r>
      <w:r>
        <w:rPr>
          <w:lang w:val="en-US"/>
        </w:rPr>
        <w:t>Regulation 2 of LN 288/2015.</w:t>
      </w:r>
    </w:p>
  </w:footnote>
  <w:footnote w:id="114">
    <w:p w14:paraId="5AE004C4" w14:textId="347F790E" w:rsidR="00894CB7" w:rsidRDefault="00894CB7">
      <w:pPr>
        <w:pStyle w:val="FootnoteText"/>
      </w:pPr>
      <w:r>
        <w:rPr>
          <w:rStyle w:val="FootnoteReference"/>
        </w:rPr>
        <w:footnoteRef/>
      </w:r>
      <w:r>
        <w:t xml:space="preserve"> Rule 2 of LN 167/2013.</w:t>
      </w:r>
    </w:p>
  </w:footnote>
  <w:footnote w:id="115">
    <w:p w14:paraId="5C913357" w14:textId="77777777" w:rsidR="00894CB7" w:rsidRPr="001C22AD" w:rsidRDefault="00894CB7" w:rsidP="00CE0FFD">
      <w:pPr>
        <w:pStyle w:val="FootnoteText"/>
        <w:rPr>
          <w:lang w:val="en-US"/>
        </w:rPr>
      </w:pPr>
      <w:r>
        <w:rPr>
          <w:rStyle w:val="FootnoteReference"/>
        </w:rPr>
        <w:footnoteRef/>
      </w:r>
      <w:r>
        <w:t xml:space="preserve"> </w:t>
      </w:r>
      <w:r w:rsidRPr="00882C9A">
        <w:t xml:space="preserve">For the purposes of this Table, the term ‘investment’ covers any pecuniary disbursement required as part of the process for obtaining </w:t>
      </w:r>
      <w:r>
        <w:t>residence</w:t>
      </w:r>
      <w:r w:rsidRPr="00882C9A">
        <w:t xml:space="preserve"> under the investors’ </w:t>
      </w:r>
      <w:r>
        <w:t>residence</w:t>
      </w:r>
      <w:r w:rsidRPr="00882C9A">
        <w:t xml:space="preserve"> scheme.</w:t>
      </w:r>
    </w:p>
  </w:footnote>
  <w:footnote w:id="116">
    <w:p w14:paraId="6CC3B02C" w14:textId="0391001F" w:rsidR="00894CB7" w:rsidRDefault="00894CB7">
      <w:pPr>
        <w:pStyle w:val="FootnoteText"/>
      </w:pPr>
      <w:r>
        <w:rPr>
          <w:rStyle w:val="FootnoteReference"/>
        </w:rPr>
        <w:footnoteRef/>
      </w:r>
      <w:r>
        <w:t xml:space="preserve"> Information obtained through stakeholder consultation with MRVA representative on 7 March 2018. For further information see point 4 below. </w:t>
      </w:r>
    </w:p>
  </w:footnote>
  <w:footnote w:id="117">
    <w:p w14:paraId="070D15B6" w14:textId="6C4E0C55" w:rsidR="00894CB7" w:rsidRPr="00E153EF" w:rsidRDefault="00894CB7">
      <w:pPr>
        <w:pStyle w:val="FootnoteText"/>
        <w:rPr>
          <w:lang w:val="en-US"/>
        </w:rPr>
      </w:pPr>
      <w:r>
        <w:rPr>
          <w:rStyle w:val="FootnoteReference"/>
        </w:rPr>
        <w:footnoteRef/>
      </w:r>
      <w:r>
        <w:t xml:space="preserve"> </w:t>
      </w:r>
      <w:r>
        <w:rPr>
          <w:lang w:val="en-US"/>
        </w:rPr>
        <w:t xml:space="preserve">Regulation 2 of LN 288/2015 defines ‘south of Malta’ as the areas within set boundaries as designated in the Second Schedule to the Local Councils Act of the localities listed in the Schedule to LN 288/2015. The Schedule to LN 288/2015 lists 23 localities in Malta for the purposes of the definition of ‘south of Malta’. </w:t>
      </w:r>
    </w:p>
  </w:footnote>
  <w:footnote w:id="118">
    <w:p w14:paraId="3BF4E104" w14:textId="030F0057" w:rsidR="00894CB7" w:rsidRPr="00EA0883" w:rsidRDefault="00894CB7" w:rsidP="00692708">
      <w:pPr>
        <w:pStyle w:val="FootnoteText"/>
        <w:jc w:val="lef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33" w:history="1">
        <w:r w:rsidRPr="00FE7C4A">
          <w:rPr>
            <w:rStyle w:val="Hyperlink"/>
            <w:lang w:val="en-US"/>
          </w:rPr>
          <w:t>https://identitymalta.com/wp-content/uploads/2016/05/FAQ-V5.0.pdf</w:t>
        </w:r>
      </w:hyperlink>
      <w:r>
        <w:rPr>
          <w:rStyle w:val="Hyperlink"/>
          <w:lang w:val="en-US"/>
        </w:rPr>
        <w:t>. Confirmed through stakeholder consultation with MRVA representative on 7 March 2018 – the investment is made in Malta Government stocks or funds that invest exclusively in Malta Government stocks.</w:t>
      </w:r>
    </w:p>
  </w:footnote>
  <w:footnote w:id="119">
    <w:p w14:paraId="689801BE" w14:textId="45389566" w:rsidR="00894CB7" w:rsidRDefault="00894CB7" w:rsidP="0094796D">
      <w:pPr>
        <w:pStyle w:val="FootnoteText"/>
      </w:pPr>
      <w:r>
        <w:rPr>
          <w:rStyle w:val="FootnoteReference"/>
        </w:rPr>
        <w:footnoteRef/>
      </w:r>
      <w:r>
        <w:t xml:space="preserve"> Information confirmed through stakeholder consultation with MRVA representative on 7 March 2018.</w:t>
      </w:r>
    </w:p>
  </w:footnote>
  <w:footnote w:id="120">
    <w:p w14:paraId="70E24EC3" w14:textId="6001E626"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21">
    <w:p w14:paraId="790B7982" w14:textId="5B39561F"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22">
    <w:p w14:paraId="06FEF8CB" w14:textId="0DF78FFE"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23">
    <w:p w14:paraId="5C910913" w14:textId="722BF1C3" w:rsidR="00894CB7" w:rsidRPr="00E153EF" w:rsidRDefault="00894CB7" w:rsidP="000D1C0D">
      <w:pPr>
        <w:pStyle w:val="FootnoteText"/>
        <w:rPr>
          <w:lang w:val="en-US"/>
        </w:rPr>
      </w:pPr>
      <w:r>
        <w:rPr>
          <w:rStyle w:val="FootnoteReference"/>
        </w:rPr>
        <w:footnoteRef/>
      </w:r>
      <w:r>
        <w:t xml:space="preserve"> </w:t>
      </w:r>
      <w:r>
        <w:rPr>
          <w:lang w:val="en-US"/>
        </w:rPr>
        <w:t xml:space="preserve">Regulation 2 of LN 167/2013 defines ‘south of Malta’ as the areas within set boundaries as designated in the Second Schedule to the Local Councils Act of the localities listed in the Schedule to LN 167/2013.  The Schedule to LN 167/2013 lists the same 23 localities in Malta as the Schedule to LN 288/2015 for the purposes of defining ‘south of Malta’. </w:t>
      </w:r>
    </w:p>
  </w:footnote>
  <w:footnote w:id="124">
    <w:p w14:paraId="37E2CA46" w14:textId="08B61DBA" w:rsidR="00894CB7" w:rsidRDefault="00894CB7">
      <w:pPr>
        <w:pStyle w:val="FootnoteText"/>
      </w:pPr>
      <w:r>
        <w:rPr>
          <w:rStyle w:val="FootnoteReference"/>
        </w:rPr>
        <w:footnoteRef/>
      </w:r>
      <w:r>
        <w:t xml:space="preserve"> The Global Residence Programme, 2013 Guidance Notes: </w:t>
      </w:r>
      <w:hyperlink r:id="rId34" w:history="1">
        <w:r w:rsidRPr="001F25ED">
          <w:rPr>
            <w:rStyle w:val="Hyperlink"/>
          </w:rPr>
          <w:t>https://cfr.gov.mt/en/inlandrevenue/itu/Documents/grp_guidelines.pdf</w:t>
        </w:r>
      </w:hyperlink>
    </w:p>
  </w:footnote>
  <w:footnote w:id="125">
    <w:p w14:paraId="7F783572" w14:textId="77777777" w:rsidR="00894CB7" w:rsidRDefault="00894CB7" w:rsidP="00AA565E">
      <w:pPr>
        <w:pStyle w:val="FootnoteText"/>
      </w:pPr>
      <w:r>
        <w:rPr>
          <w:rStyle w:val="FootnoteReference"/>
        </w:rPr>
        <w:footnoteRef/>
      </w:r>
      <w:r>
        <w:t xml:space="preserve"> The Global Residence Programme, 2013 Guidance Notes: </w:t>
      </w:r>
      <w:hyperlink r:id="rId35" w:history="1">
        <w:r w:rsidRPr="001F25ED">
          <w:rPr>
            <w:rStyle w:val="Hyperlink"/>
          </w:rPr>
          <w:t>https://cfr.gov.mt/en/inlandrevenue/itu/Documents/grp_guidelines.pdf</w:t>
        </w:r>
      </w:hyperlink>
    </w:p>
  </w:footnote>
  <w:footnote w:id="126">
    <w:p w14:paraId="7A932D5A" w14:textId="0CC4BA4E" w:rsidR="00894CB7" w:rsidRDefault="00894CB7">
      <w:pPr>
        <w:pStyle w:val="FootnoteText"/>
      </w:pPr>
      <w:r>
        <w:rPr>
          <w:rStyle w:val="FootnoteReference"/>
        </w:rPr>
        <w:footnoteRef/>
      </w:r>
      <w:r>
        <w:t xml:space="preserve"> The Global Residence Programme, 2013 Guidance Notes: </w:t>
      </w:r>
      <w:hyperlink r:id="rId36" w:history="1">
        <w:r w:rsidRPr="001F25ED">
          <w:rPr>
            <w:rStyle w:val="Hyperlink"/>
          </w:rPr>
          <w:t>https://cfr.gov.mt/en/inlandrevenue/itu/Documents/grp_guidelines.pdf</w:t>
        </w:r>
      </w:hyperlink>
    </w:p>
  </w:footnote>
  <w:footnote w:id="127">
    <w:p w14:paraId="6F739F84" w14:textId="586E8883" w:rsidR="00894CB7" w:rsidRDefault="00894CB7">
      <w:pPr>
        <w:pStyle w:val="FootnoteText"/>
      </w:pPr>
      <w:r>
        <w:rPr>
          <w:rStyle w:val="FootnoteReference"/>
        </w:rPr>
        <w:footnoteRef/>
      </w:r>
      <w:r>
        <w:t xml:space="preserve"> Information confirmed through stakeholder consultation with MRVA representative on 7 March 2018.</w:t>
      </w:r>
    </w:p>
  </w:footnote>
  <w:footnote w:id="128">
    <w:p w14:paraId="39B4AD35" w14:textId="77777777" w:rsidR="00894CB7" w:rsidRDefault="00894CB7" w:rsidP="000C5989">
      <w:pPr>
        <w:pStyle w:val="FootnoteText"/>
      </w:pPr>
      <w:r>
        <w:rPr>
          <w:rStyle w:val="FootnoteReference"/>
        </w:rPr>
        <w:footnoteRef/>
      </w:r>
      <w:r>
        <w:t xml:space="preserve"> Information confirmed through stakeholder consultation with MRVA representative on 7 March 2018.</w:t>
      </w:r>
    </w:p>
  </w:footnote>
  <w:footnote w:id="129">
    <w:p w14:paraId="2CA70EF7" w14:textId="77777777" w:rsidR="00894CB7" w:rsidRPr="00EA0883" w:rsidRDefault="00894CB7" w:rsidP="00947E0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37" w:history="1">
        <w:r w:rsidRPr="00FE7C4A">
          <w:rPr>
            <w:rStyle w:val="Hyperlink"/>
            <w:lang w:val="en-US"/>
          </w:rPr>
          <w:t>https://identitymalta.com/wp-content/uploads/2016/05/FAQ-V5.0.pdf</w:t>
        </w:r>
      </w:hyperlink>
    </w:p>
  </w:footnote>
  <w:footnote w:id="130">
    <w:p w14:paraId="36361CB7" w14:textId="59851158" w:rsidR="00894CB7" w:rsidRDefault="00894CB7">
      <w:pPr>
        <w:pStyle w:val="FootnoteText"/>
      </w:pPr>
      <w:r>
        <w:rPr>
          <w:rStyle w:val="FootnoteReference"/>
        </w:rPr>
        <w:footnoteRef/>
      </w:r>
      <w:r>
        <w:t xml:space="preserve"> See e.g. ‘Article by Finance Malta’: </w:t>
      </w:r>
      <w:hyperlink r:id="rId38" w:history="1">
        <w:r w:rsidRPr="001F25ED">
          <w:rPr>
            <w:rStyle w:val="Hyperlink"/>
          </w:rPr>
          <w:t>https://economy.gov.mt/en/globalresidence/Pages/Article-by-Finance-Malta.aspx</w:t>
        </w:r>
      </w:hyperlink>
      <w:r>
        <w:t xml:space="preserve">.  </w:t>
      </w:r>
    </w:p>
  </w:footnote>
  <w:footnote w:id="131">
    <w:p w14:paraId="00B0B5C7" w14:textId="1ADBD5C8" w:rsidR="00894CB7" w:rsidRDefault="00894CB7">
      <w:pPr>
        <w:pStyle w:val="FootnoteText"/>
      </w:pPr>
      <w:r>
        <w:rPr>
          <w:rStyle w:val="FootnoteReference"/>
        </w:rPr>
        <w:footnoteRef/>
      </w:r>
      <w:r>
        <w:t xml:space="preserve"> ‘Article by Finance Malta’: </w:t>
      </w:r>
      <w:hyperlink r:id="rId39" w:history="1">
        <w:r w:rsidRPr="001F25ED">
          <w:rPr>
            <w:rStyle w:val="Hyperlink"/>
          </w:rPr>
          <w:t>https://economy.gov.mt/en/globalresidence/Pages/Article-by-Finance-Malta.aspx</w:t>
        </w:r>
      </w:hyperlink>
      <w:r>
        <w:t xml:space="preserve">.  </w:t>
      </w:r>
    </w:p>
  </w:footnote>
  <w:footnote w:id="132">
    <w:p w14:paraId="790531E5" w14:textId="56C0862D" w:rsidR="00894CB7" w:rsidRPr="00FA5334" w:rsidRDefault="00894CB7" w:rsidP="0081160A">
      <w:pPr>
        <w:pStyle w:val="FootnoteText"/>
        <w:rPr>
          <w:lang w:val="en-US"/>
        </w:rPr>
      </w:pPr>
      <w:r>
        <w:rPr>
          <w:rStyle w:val="FootnoteReference"/>
        </w:rPr>
        <w:footnoteRef/>
      </w:r>
      <w:r>
        <w:t xml:space="preserve"> Checklist for Third-Country Nationals applying for a residence permit on the basis of economic self-sufficiency, Identity Malta: https://identitymalta.com/wp-content/uploads/2017/10/Checklist-for-Third-Country-Nationals-applying-for-a-residence-permit-on-the-basis-of-economic-self-sufficiency.pdf</w:t>
      </w:r>
    </w:p>
  </w:footnote>
  <w:footnote w:id="133">
    <w:p w14:paraId="58404CB8" w14:textId="77777777" w:rsidR="00894CB7" w:rsidRPr="007C0C0B" w:rsidRDefault="00894CB7" w:rsidP="003A1151">
      <w:pPr>
        <w:pStyle w:val="FootnoteText"/>
        <w:rPr>
          <w:lang w:val="fr-FR"/>
        </w:rPr>
      </w:pPr>
      <w:r>
        <w:rPr>
          <w:rStyle w:val="FootnoteReference"/>
        </w:rPr>
        <w:footnoteRef/>
      </w:r>
      <w:r w:rsidRPr="007C0C0B">
        <w:rPr>
          <w:lang w:val="fr-FR"/>
        </w:rPr>
        <w:t xml:space="preserve"> CEA </w:t>
      </w:r>
      <w:proofErr w:type="spellStart"/>
      <w:r w:rsidRPr="007C0C0B">
        <w:rPr>
          <w:lang w:val="fr-FR"/>
        </w:rPr>
        <w:t>form</w:t>
      </w:r>
      <w:proofErr w:type="spellEnd"/>
      <w:r w:rsidRPr="007C0C0B">
        <w:rPr>
          <w:lang w:val="fr-FR"/>
        </w:rPr>
        <w:t xml:space="preserve"> K (non-EU </w:t>
      </w:r>
      <w:proofErr w:type="spellStart"/>
      <w:r w:rsidRPr="007C0C0B">
        <w:rPr>
          <w:lang w:val="fr-FR"/>
        </w:rPr>
        <w:t>nationals</w:t>
      </w:r>
      <w:proofErr w:type="spellEnd"/>
      <w:r w:rsidRPr="007C0C0B">
        <w:rPr>
          <w:lang w:val="fr-FR"/>
        </w:rPr>
        <w:t xml:space="preserve">), </w:t>
      </w:r>
      <w:hyperlink r:id="rId40" w:history="1">
        <w:r w:rsidRPr="007C0C0B">
          <w:rPr>
            <w:rStyle w:val="Hyperlink"/>
            <w:lang w:val="fr-FR"/>
          </w:rPr>
          <w:t>https://identitymalta.com/wp-content/uploads/2014/07/CEA-Form-K.pdf</w:t>
        </w:r>
      </w:hyperlink>
      <w:r w:rsidRPr="007C0C0B">
        <w:rPr>
          <w:lang w:val="fr-FR"/>
        </w:rPr>
        <w:t xml:space="preserve"> </w:t>
      </w:r>
    </w:p>
  </w:footnote>
  <w:footnote w:id="134">
    <w:p w14:paraId="71A959E5" w14:textId="1184DAD7" w:rsidR="00894CB7" w:rsidRPr="00FA5334" w:rsidRDefault="00894CB7" w:rsidP="003A1151">
      <w:pPr>
        <w:pStyle w:val="FootnoteText"/>
      </w:pPr>
      <w:r>
        <w:rPr>
          <w:rStyle w:val="FootnoteReference"/>
        </w:rPr>
        <w:footnoteRef/>
      </w:r>
      <w:r>
        <w:t xml:space="preserve"> Checklist for Third-Country Nationals applying for a residence permit on the basis of economic self-sufficiency, Identity Malta: </w:t>
      </w:r>
      <w:r w:rsidRPr="00A736EE">
        <w:t>https://identitymalta.com/wp-content/uploads/2017/10/Checklist-for-Third-Country-Nationals-applying-for-a-residence-permit-on-the-basis-of-economic-self-sufficiency.pdf</w:t>
      </w:r>
    </w:p>
  </w:footnote>
  <w:footnote w:id="135">
    <w:p w14:paraId="3E8DD94F" w14:textId="2DBCFC1B"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36">
    <w:p w14:paraId="7CF1E954" w14:textId="4F6E4DD9"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37">
    <w:p w14:paraId="586893C3" w14:textId="78E43C23"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38">
    <w:p w14:paraId="4B38EF25" w14:textId="4469CB44"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39">
    <w:p w14:paraId="3F1440F4" w14:textId="3282334B" w:rsidR="00894CB7" w:rsidRPr="00EA0883" w:rsidRDefault="00894CB7" w:rsidP="00F53CA0">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41" w:history="1">
        <w:r w:rsidRPr="00FE7C4A">
          <w:rPr>
            <w:rStyle w:val="Hyperlink"/>
            <w:lang w:val="en-US"/>
          </w:rPr>
          <w:t>https://identitymalta.com/wp-content/uploads/2016/05/FAQ-V5.0.pdf</w:t>
        </w:r>
      </w:hyperlink>
    </w:p>
  </w:footnote>
  <w:footnote w:id="140">
    <w:p w14:paraId="33EC2528" w14:textId="202FDB12" w:rsidR="00894CB7" w:rsidRDefault="00894CB7">
      <w:pPr>
        <w:pStyle w:val="FootnoteText"/>
      </w:pPr>
      <w:r>
        <w:rPr>
          <w:rStyle w:val="FootnoteReference"/>
        </w:rPr>
        <w:footnoteRef/>
      </w:r>
      <w:r>
        <w:t xml:space="preserve"> Information confirmed through stakeholder consultation with MRVA representative on 7 March 2018.</w:t>
      </w:r>
    </w:p>
  </w:footnote>
  <w:footnote w:id="141">
    <w:p w14:paraId="1909036E" w14:textId="65E30909" w:rsidR="00894CB7" w:rsidRDefault="00894CB7">
      <w:pPr>
        <w:pStyle w:val="FootnoteText"/>
      </w:pPr>
      <w:r>
        <w:rPr>
          <w:rStyle w:val="FootnoteReference"/>
        </w:rPr>
        <w:footnoteRef/>
      </w:r>
      <w:r>
        <w:t xml:space="preserve"> Authorised Registered Mandatory: </w:t>
      </w:r>
      <w:r w:rsidRPr="00C4365A">
        <w:t>https://cfr.gov.mt/en/inlandrevenue/itu/Documents/hnwi_guide_arm.pdf</w:t>
      </w:r>
    </w:p>
  </w:footnote>
  <w:footnote w:id="142">
    <w:p w14:paraId="20D81861" w14:textId="29CFDD25" w:rsidR="00894CB7" w:rsidRDefault="00894CB7">
      <w:pPr>
        <w:pStyle w:val="FootnoteText"/>
      </w:pPr>
      <w:r>
        <w:rPr>
          <w:rStyle w:val="FootnoteReference"/>
        </w:rPr>
        <w:footnoteRef/>
      </w:r>
      <w:r>
        <w:t xml:space="preserve"> ‘Application for special tax status: Global Residence Programme’: </w:t>
      </w:r>
      <w:hyperlink r:id="rId42" w:history="1">
        <w:r w:rsidRPr="001F25ED">
          <w:rPr>
            <w:rStyle w:val="Hyperlink"/>
          </w:rPr>
          <w:t>https://cfr.gov.mt/en/inlandrevenue/itu/Documents/grp_form_application.pdf</w:t>
        </w:r>
      </w:hyperlink>
      <w:r>
        <w:t xml:space="preserve"> </w:t>
      </w:r>
    </w:p>
  </w:footnote>
  <w:footnote w:id="143">
    <w:p w14:paraId="34659E99" w14:textId="39397629" w:rsidR="00894CB7" w:rsidRDefault="00894CB7">
      <w:pPr>
        <w:pStyle w:val="FootnoteText"/>
      </w:pPr>
      <w:r>
        <w:rPr>
          <w:rStyle w:val="FootnoteReference"/>
        </w:rPr>
        <w:footnoteRef/>
      </w:r>
      <w:r>
        <w:t xml:space="preserve"> ‘Application for special tax status: Global Residence Programme’: </w:t>
      </w:r>
      <w:hyperlink r:id="rId43" w:history="1">
        <w:r w:rsidRPr="001F25ED">
          <w:rPr>
            <w:rStyle w:val="Hyperlink"/>
          </w:rPr>
          <w:t>https://cfr.gov.mt/en/inlandrevenue/itu/Documents/grp_form_application.pdf</w:t>
        </w:r>
      </w:hyperlink>
    </w:p>
  </w:footnote>
  <w:footnote w:id="144">
    <w:p w14:paraId="7705FA67" w14:textId="77777777" w:rsidR="00894CB7" w:rsidRPr="00421BD7" w:rsidRDefault="00894CB7" w:rsidP="00421BD7">
      <w:pPr>
        <w:pStyle w:val="FootnoteText"/>
        <w:rPr>
          <w:lang w:val="en-US"/>
        </w:rPr>
      </w:pPr>
      <w:r>
        <w:rPr>
          <w:rStyle w:val="FootnoteReference"/>
        </w:rPr>
        <w:footnoteRef/>
      </w:r>
      <w:r>
        <w:t xml:space="preserve"> Questionnaire in connection with the Global Residence Programme: </w:t>
      </w:r>
      <w:hyperlink r:id="rId44" w:tooltip="QUESTIONNAIRE IN CONNECTION WITH THE GLOBAL RESIDENCE PROGRAMME" w:history="1">
        <w:r w:rsidRPr="00421BD7">
          <w:rPr>
            <w:rStyle w:val="Hyperlink"/>
            <w:lang w:val="en-US"/>
          </w:rPr>
          <w:t>https://cfr.gov.mt/en/inlandrevenue/itu/Documents/grp_questionnaire.doc</w:t>
        </w:r>
      </w:hyperlink>
    </w:p>
    <w:p w14:paraId="5CBE73D9" w14:textId="0A54EC9D" w:rsidR="00894CB7" w:rsidRPr="00FA5334" w:rsidRDefault="00894CB7">
      <w:pPr>
        <w:pStyle w:val="FootnoteText"/>
        <w:rPr>
          <w:lang w:val="en-US"/>
        </w:rPr>
      </w:pPr>
    </w:p>
  </w:footnote>
  <w:footnote w:id="145">
    <w:p w14:paraId="7B5BFDF5" w14:textId="088B6740" w:rsidR="00894CB7" w:rsidRDefault="00894CB7">
      <w:pPr>
        <w:pStyle w:val="FootnoteText"/>
      </w:pPr>
      <w:r>
        <w:rPr>
          <w:rStyle w:val="FootnoteReference"/>
        </w:rPr>
        <w:footnoteRef/>
      </w:r>
      <w:r>
        <w:t xml:space="preserve"> The Global Residence Programme, 2013 Guidance Notes: </w:t>
      </w:r>
      <w:hyperlink r:id="rId45" w:history="1">
        <w:r w:rsidRPr="001F25ED">
          <w:rPr>
            <w:rStyle w:val="Hyperlink"/>
          </w:rPr>
          <w:t>https://cfr.gov.mt/en/inlandrevenue/itu/Documents/grp_guidelines.pdf</w:t>
        </w:r>
      </w:hyperlink>
      <w:r>
        <w:t xml:space="preserve"> </w:t>
      </w:r>
    </w:p>
  </w:footnote>
  <w:footnote w:id="146">
    <w:p w14:paraId="255C0F6C" w14:textId="77777777" w:rsidR="00894CB7" w:rsidRPr="00547E3F" w:rsidRDefault="00894CB7" w:rsidP="00A934DA">
      <w:pPr>
        <w:pStyle w:val="FootnoteText"/>
        <w:rPr>
          <w:lang w:val="en-US"/>
        </w:rPr>
      </w:pPr>
      <w:r>
        <w:rPr>
          <w:rStyle w:val="FootnoteReference"/>
        </w:rPr>
        <w:footnoteRef/>
      </w:r>
      <w:r>
        <w:t xml:space="preserve"> </w:t>
      </w:r>
      <w:r>
        <w:rPr>
          <w:lang w:val="en-US"/>
        </w:rPr>
        <w:t xml:space="preserve">Regulation 3 of LN 288/2015. </w:t>
      </w:r>
    </w:p>
  </w:footnote>
  <w:footnote w:id="147">
    <w:p w14:paraId="0CB6A1EA" w14:textId="77777777" w:rsidR="00894CB7" w:rsidRPr="00547E3F" w:rsidRDefault="00894CB7" w:rsidP="00AB1618">
      <w:pPr>
        <w:pStyle w:val="FootnoteText"/>
        <w:rPr>
          <w:lang w:val="en-US"/>
        </w:rPr>
      </w:pPr>
      <w:r>
        <w:rPr>
          <w:rStyle w:val="FootnoteReference"/>
        </w:rPr>
        <w:footnoteRef/>
      </w:r>
      <w:r>
        <w:t xml:space="preserve"> </w:t>
      </w:r>
      <w:r>
        <w:rPr>
          <w:lang w:val="en-US"/>
        </w:rPr>
        <w:t>Regulation 4 of LN 288/2015.</w:t>
      </w:r>
    </w:p>
  </w:footnote>
  <w:footnote w:id="148">
    <w:p w14:paraId="59213AB8" w14:textId="7B5D4FC6" w:rsidR="00894CB7" w:rsidRPr="00A60AEB" w:rsidRDefault="00894CB7">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46" w:history="1">
        <w:r w:rsidRPr="00FE7C4A">
          <w:rPr>
            <w:rStyle w:val="Hyperlink"/>
            <w:lang w:val="en-US"/>
          </w:rPr>
          <w:t>https://identitymalta.com/wp-content/uploads/2016/05/FAQ-V5.0.pdf</w:t>
        </w:r>
      </w:hyperlink>
    </w:p>
  </w:footnote>
  <w:footnote w:id="149">
    <w:p w14:paraId="64C7E158" w14:textId="038AA2A3" w:rsidR="00894CB7" w:rsidRDefault="00894CB7">
      <w:pPr>
        <w:pStyle w:val="FootnoteText"/>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47" w:history="1">
        <w:r w:rsidRPr="00FE7C4A">
          <w:rPr>
            <w:rStyle w:val="Hyperlink"/>
            <w:lang w:val="en-US"/>
          </w:rPr>
          <w:t>https://identitymalta.com/wp-content/uploads/2016/05/FAQ-V5.0.pdf</w:t>
        </w:r>
      </w:hyperlink>
    </w:p>
  </w:footnote>
  <w:footnote w:id="150">
    <w:p w14:paraId="29D56D3D" w14:textId="419756D1" w:rsidR="00894CB7" w:rsidRDefault="00894CB7">
      <w:pPr>
        <w:pStyle w:val="FootnoteText"/>
      </w:pPr>
      <w:r>
        <w:rPr>
          <w:rStyle w:val="FootnoteReference"/>
        </w:rPr>
        <w:footnoteRef/>
      </w:r>
      <w:r>
        <w:t xml:space="preserve"> </w:t>
      </w:r>
      <w:hyperlink r:id="rId48" w:history="1">
        <w:r w:rsidRPr="00C31BC2">
          <w:rPr>
            <w:rStyle w:val="Hyperlink"/>
          </w:rPr>
          <w:t>https://jobsplus.gov.mt/employers-mt-MT-en-GB/employing-persons/third-country-nationals</w:t>
        </w:r>
      </w:hyperlink>
      <w:r>
        <w:t xml:space="preserve"> </w:t>
      </w:r>
    </w:p>
  </w:footnote>
  <w:footnote w:id="151">
    <w:p w14:paraId="352855D9" w14:textId="77777777" w:rsidR="00894CB7" w:rsidRPr="007A3B2F" w:rsidRDefault="00894CB7" w:rsidP="00765E9C">
      <w:pPr>
        <w:pStyle w:val="FootnoteText"/>
        <w:rPr>
          <w:lang w:val="en-US"/>
        </w:rPr>
      </w:pPr>
      <w:r>
        <w:rPr>
          <w:rStyle w:val="FootnoteReference"/>
        </w:rPr>
        <w:footnoteRef/>
      </w:r>
      <w:r>
        <w:t xml:space="preserve"> </w:t>
      </w:r>
      <w:r>
        <w:rPr>
          <w:lang w:val="en-US"/>
        </w:rPr>
        <w:t xml:space="preserve">MRVP, </w:t>
      </w:r>
      <w:r w:rsidRPr="00624033">
        <w:rPr>
          <w:lang w:val="en-US"/>
        </w:rPr>
        <w:t>Frequently Asked Questions</w:t>
      </w:r>
      <w:r>
        <w:rPr>
          <w:lang w:val="en-US"/>
        </w:rPr>
        <w:t xml:space="preserve"> – Identity Malta: </w:t>
      </w:r>
      <w:hyperlink r:id="rId49" w:history="1">
        <w:r w:rsidRPr="00FE7C4A">
          <w:rPr>
            <w:rStyle w:val="Hyperlink"/>
            <w:lang w:val="en-US"/>
          </w:rPr>
          <w:t>https://identitymalta.com/wp-content/uploads/2016/05/FAQ-V5.0.pdf</w:t>
        </w:r>
      </w:hyperlink>
    </w:p>
  </w:footnote>
  <w:footnote w:id="152">
    <w:p w14:paraId="1D7146E3" w14:textId="2AD70711" w:rsidR="00894CB7" w:rsidRDefault="00894CB7">
      <w:pPr>
        <w:pStyle w:val="FootnoteText"/>
      </w:pPr>
      <w:r>
        <w:rPr>
          <w:rStyle w:val="FootnoteReference"/>
        </w:rPr>
        <w:footnoteRef/>
      </w:r>
      <w:r>
        <w:t xml:space="preserve"> Directive 2011/98/EU of the European parliament and of the Council of 13 December 2011 on a single application procedure for a single permit for third-country nationals to reside and work in the territory of a Member State and on a common set of rights for third-country workers legally residing in a Member State: </w:t>
      </w:r>
      <w:hyperlink r:id="rId50" w:history="1">
        <w:r w:rsidRPr="00C31BC2">
          <w:rPr>
            <w:rStyle w:val="Hyperlink"/>
          </w:rPr>
          <w:t>http://eur-lex.europa.eu/legal-content/EN/TXT/PDF/?uri=CELEX:32011L0098&amp;from=EN</w:t>
        </w:r>
      </w:hyperlink>
      <w:r>
        <w:t xml:space="preserve">. </w:t>
      </w:r>
    </w:p>
  </w:footnote>
  <w:footnote w:id="153">
    <w:p w14:paraId="6BFD6A7B" w14:textId="0EE60EEB" w:rsidR="00894CB7" w:rsidRPr="00A60AEB" w:rsidRDefault="00894CB7">
      <w:pPr>
        <w:pStyle w:val="FootnoteText"/>
        <w:rPr>
          <w:lang w:val="en-US"/>
        </w:rPr>
      </w:pPr>
      <w:r>
        <w:rPr>
          <w:rStyle w:val="FootnoteReference"/>
        </w:rPr>
        <w:footnoteRef/>
      </w:r>
      <w:r>
        <w:t xml:space="preserve"> Article 12 of </w:t>
      </w:r>
      <w:r w:rsidRPr="008B244B">
        <w:t>Directive 2011/98/EU</w:t>
      </w:r>
      <w:r>
        <w:t>.</w:t>
      </w:r>
    </w:p>
  </w:footnote>
  <w:footnote w:id="154">
    <w:p w14:paraId="6A822711" w14:textId="12720556" w:rsidR="00894CB7" w:rsidRPr="00135FE7" w:rsidRDefault="00894CB7">
      <w:pPr>
        <w:pStyle w:val="FootnoteText"/>
        <w:rPr>
          <w:lang w:val="en-US"/>
        </w:rPr>
      </w:pPr>
      <w:r>
        <w:rPr>
          <w:rStyle w:val="FootnoteReference"/>
        </w:rPr>
        <w:footnoteRef/>
      </w:r>
      <w:r>
        <w:t xml:space="preserve"> </w:t>
      </w:r>
      <w:r>
        <w:rPr>
          <w:lang w:val="en-US"/>
        </w:rPr>
        <w:t xml:space="preserve">See Identity Malta webpage: Malta Residency &amp; Visa </w:t>
      </w:r>
      <w:proofErr w:type="spellStart"/>
      <w:r>
        <w:rPr>
          <w:lang w:val="en-US"/>
        </w:rPr>
        <w:t>Programme</w:t>
      </w:r>
      <w:proofErr w:type="spellEnd"/>
      <w:r>
        <w:rPr>
          <w:lang w:val="en-US"/>
        </w:rPr>
        <w:t xml:space="preserve"> (MRVP) guidelines and applications: </w:t>
      </w:r>
      <w:hyperlink r:id="rId51" w:history="1">
        <w:r w:rsidRPr="000558A2">
          <w:rPr>
            <w:rStyle w:val="Hyperlink"/>
            <w:lang w:val="en-US"/>
          </w:rPr>
          <w:t>https://identitymalta.com/new/malta-residency-visa-program-mrvp-guidelines-and-applications/</w:t>
        </w:r>
      </w:hyperlink>
      <w:r>
        <w:rPr>
          <w:lang w:val="en-US"/>
        </w:rPr>
        <w:t xml:space="preserve">. </w:t>
      </w:r>
    </w:p>
  </w:footnote>
  <w:footnote w:id="155">
    <w:p w14:paraId="29B77404" w14:textId="6CDBE396" w:rsidR="00894CB7" w:rsidRPr="00825CC1" w:rsidRDefault="00894CB7">
      <w:pPr>
        <w:pStyle w:val="FootnoteText"/>
        <w:rPr>
          <w:lang w:val="en-US"/>
        </w:rPr>
      </w:pPr>
      <w:r>
        <w:rPr>
          <w:rStyle w:val="FootnoteReference"/>
        </w:rPr>
        <w:footnoteRef/>
      </w:r>
      <w:r>
        <w:t xml:space="preserve"> </w:t>
      </w:r>
      <w:r>
        <w:tab/>
        <w:t xml:space="preserve">Article 21, paragraph 1, </w:t>
      </w:r>
      <w:r w:rsidRPr="00825CC1">
        <w:rPr>
          <w:lang w:val="en-US"/>
        </w:rPr>
        <w:t xml:space="preserve">Convention implementing the Schengen Agreement of 14 June 1985 between the Governments of the States of the Benelux Economic Union, the Federal Republic of Germany and the French Republic on the gradual abolition of checks at their common borders </w:t>
      </w:r>
      <w:r w:rsidRPr="00825CC1">
        <w:rPr>
          <w:lang w:val="en-US"/>
        </w:rPr>
        <w:br/>
      </w:r>
      <w:r>
        <w:rPr>
          <w:lang w:val="en-US"/>
        </w:rPr>
        <w:t xml:space="preserve"> as amended by </w:t>
      </w:r>
      <w:r w:rsidRPr="00645C19">
        <w:rPr>
          <w:lang w:val="en-US"/>
        </w:rPr>
        <w:t>Regulation (EU) No 610/2013 of the European Parliament and of the Council of 26 June 2013 amending Regulation (EC) No 562/2006 of the European Parliament and of the Council establishing a Community Code on the rules governing the movement of persons across borders (Schengen Borders Code), the Convention implementing the Schengen Agreement, Council Regulations (EC) No 1683/95 and (EC) No 539/2001 and Regulations (EC) No 767/2008 and (EC) No 810/2009 of the European Parliament and of the Council</w:t>
      </w:r>
      <w:r>
        <w:rPr>
          <w:lang w:val="en-US"/>
        </w:rPr>
        <w:t>.</w:t>
      </w:r>
    </w:p>
  </w:footnote>
  <w:footnote w:id="156">
    <w:p w14:paraId="2BADF99D" w14:textId="47506A19" w:rsidR="00894CB7" w:rsidRDefault="00894CB7">
      <w:pPr>
        <w:pStyle w:val="FootnoteText"/>
      </w:pPr>
      <w:r>
        <w:rPr>
          <w:rStyle w:val="FootnoteReference"/>
        </w:rPr>
        <w:footnoteRef/>
      </w:r>
      <w:r>
        <w:t xml:space="preserve"> Rule 5(2) of LN 167/2013.</w:t>
      </w:r>
    </w:p>
  </w:footnote>
  <w:footnote w:id="157">
    <w:p w14:paraId="5B432C35" w14:textId="648EB49C" w:rsidR="00894CB7" w:rsidRDefault="00894CB7">
      <w:pPr>
        <w:pStyle w:val="FootnoteText"/>
      </w:pPr>
      <w:r>
        <w:rPr>
          <w:rStyle w:val="FootnoteReference"/>
        </w:rPr>
        <w:footnoteRef/>
      </w:r>
      <w:r>
        <w:t xml:space="preserve"> Rule 5(1) of LN 167/2013.</w:t>
      </w:r>
    </w:p>
  </w:footnote>
  <w:footnote w:id="158">
    <w:p w14:paraId="2600C9FD" w14:textId="77777777" w:rsidR="00894CB7" w:rsidRPr="006E6BDD" w:rsidRDefault="00894CB7" w:rsidP="00FF16B9">
      <w:pPr>
        <w:pStyle w:val="FootnoteText"/>
        <w:rPr>
          <w:lang w:val="en-US"/>
        </w:rPr>
      </w:pPr>
      <w:r>
        <w:rPr>
          <w:rStyle w:val="FootnoteReference"/>
        </w:rPr>
        <w:footnoteRef/>
      </w:r>
      <w:r>
        <w:t xml:space="preserve"> </w:t>
      </w:r>
      <w:r>
        <w:rPr>
          <w:lang w:val="en-US"/>
        </w:rPr>
        <w:t xml:space="preserve">Income Tax Act, </w:t>
      </w:r>
      <w:r w:rsidRPr="00FF16B9">
        <w:rPr>
          <w:lang w:val="en-US"/>
        </w:rPr>
        <w:t>http://www.justiceservices.gov.mt/DownloadDocument.aspx?app=lom&amp;itemid=8658</w:t>
      </w:r>
    </w:p>
  </w:footnote>
  <w:footnote w:id="159">
    <w:p w14:paraId="165C3428" w14:textId="44F44371" w:rsidR="00894CB7" w:rsidRPr="004D5A2D" w:rsidRDefault="00894CB7" w:rsidP="00DC2491">
      <w:pPr>
        <w:pStyle w:val="FootnoteText"/>
        <w:rPr>
          <w:lang w:val="en-US"/>
        </w:rPr>
      </w:pPr>
      <w:r>
        <w:rPr>
          <w:rStyle w:val="FootnoteReference"/>
        </w:rPr>
        <w:footnoteRef/>
      </w:r>
      <w:r>
        <w:t xml:space="preserve"> </w:t>
      </w:r>
      <w:r>
        <w:rPr>
          <w:lang w:val="en-US"/>
        </w:rPr>
        <w:t xml:space="preserve">Advisory Corporate Tax, Residence </w:t>
      </w:r>
      <w:proofErr w:type="spellStart"/>
      <w:r>
        <w:rPr>
          <w:lang w:val="en-US"/>
        </w:rPr>
        <w:t>Programmes</w:t>
      </w:r>
      <w:proofErr w:type="spellEnd"/>
      <w:r>
        <w:rPr>
          <w:lang w:val="en-US"/>
        </w:rPr>
        <w:t xml:space="preserve"> in Malta: A comparative analysis: </w:t>
      </w:r>
      <w:hyperlink r:id="rId52" w:history="1">
        <w:r w:rsidRPr="00FE7C4A">
          <w:rPr>
            <w:rStyle w:val="Hyperlink"/>
            <w:lang w:val="en-US"/>
          </w:rPr>
          <w:t>http://act.com.mt/media/images/active/downloads/Comparative%20Analysis_inc.%20MRVP_Final.pdf</w:t>
        </w:r>
      </w:hyperlink>
      <w:r>
        <w:rPr>
          <w:lang w:val="en-US"/>
        </w:rPr>
        <w:t xml:space="preserve"> </w:t>
      </w:r>
    </w:p>
  </w:footnote>
  <w:footnote w:id="160">
    <w:p w14:paraId="7ED9B40F" w14:textId="77777777" w:rsidR="00894CB7" w:rsidRPr="006E6BDD" w:rsidRDefault="00894CB7" w:rsidP="007C0BEB">
      <w:pPr>
        <w:pStyle w:val="FootnoteText"/>
        <w:rPr>
          <w:lang w:val="en-US"/>
        </w:rPr>
      </w:pPr>
      <w:r>
        <w:rPr>
          <w:rStyle w:val="FootnoteReference"/>
        </w:rPr>
        <w:footnoteRef/>
      </w:r>
      <w:r>
        <w:t xml:space="preserve"> </w:t>
      </w:r>
      <w:r>
        <w:rPr>
          <w:lang w:val="en-US"/>
        </w:rPr>
        <w:t xml:space="preserve">Income Tax Act, </w:t>
      </w:r>
      <w:r w:rsidRPr="00FF16B9">
        <w:rPr>
          <w:lang w:val="en-US"/>
        </w:rPr>
        <w:t>http://www.justiceservices.gov.mt/DownloadDocument.aspx?app=lom&amp;itemid=8658</w:t>
      </w:r>
    </w:p>
  </w:footnote>
  <w:footnote w:id="161">
    <w:p w14:paraId="47AF0113" w14:textId="77777777" w:rsidR="00894CB7" w:rsidRPr="007A3B2F" w:rsidRDefault="00894CB7" w:rsidP="001E6FFD">
      <w:pPr>
        <w:pStyle w:val="FootnoteText"/>
        <w:rPr>
          <w:lang w:val="en-US"/>
        </w:rPr>
      </w:pPr>
      <w:r>
        <w:rPr>
          <w:rStyle w:val="FootnoteReference"/>
        </w:rPr>
        <w:footnoteRef/>
      </w:r>
      <w:r>
        <w:t xml:space="preserve"> Information obtained through stakeholder consultation with MRVA representative on 7 March 2018.</w:t>
      </w:r>
    </w:p>
  </w:footnote>
  <w:footnote w:id="162">
    <w:p w14:paraId="555DCAA2" w14:textId="77777777" w:rsidR="00894CB7" w:rsidRPr="004D5A2D" w:rsidRDefault="00894CB7" w:rsidP="00E92463">
      <w:pPr>
        <w:pStyle w:val="FootnoteText"/>
        <w:jc w:val="left"/>
        <w:rPr>
          <w:lang w:val="en-US"/>
        </w:rPr>
      </w:pPr>
      <w:r>
        <w:rPr>
          <w:rStyle w:val="FootnoteReference"/>
        </w:rPr>
        <w:footnoteRef/>
      </w:r>
      <w:r>
        <w:t xml:space="preserve"> </w:t>
      </w:r>
      <w:r>
        <w:rPr>
          <w:lang w:val="en-US"/>
        </w:rPr>
        <w:t xml:space="preserve">Advisory Corporate Tax, Residence </w:t>
      </w:r>
      <w:proofErr w:type="spellStart"/>
      <w:r>
        <w:rPr>
          <w:lang w:val="en-US"/>
        </w:rPr>
        <w:t>Programmes</w:t>
      </w:r>
      <w:proofErr w:type="spellEnd"/>
      <w:r>
        <w:rPr>
          <w:lang w:val="en-US"/>
        </w:rPr>
        <w:t xml:space="preserve"> in Malta: A comparative analysis, </w:t>
      </w:r>
      <w:hyperlink r:id="rId53" w:history="1">
        <w:r w:rsidRPr="00FE7C4A">
          <w:rPr>
            <w:rStyle w:val="Hyperlink"/>
            <w:lang w:val="en-US"/>
          </w:rPr>
          <w:t>http://act.com.mt/media/images/active/downloads/Comparative%20Analysis_inc.%20MRVP_Final.pdf</w:t>
        </w:r>
      </w:hyperlink>
      <w:r>
        <w:rPr>
          <w:lang w:val="en-US"/>
        </w:rPr>
        <w:t xml:space="preserve"> </w:t>
      </w:r>
    </w:p>
  </w:footnote>
  <w:footnote w:id="163">
    <w:p w14:paraId="4A731347" w14:textId="309344C3" w:rsidR="00894CB7" w:rsidRDefault="00894CB7">
      <w:pPr>
        <w:pStyle w:val="FootnoteText"/>
      </w:pPr>
      <w:r>
        <w:rPr>
          <w:rStyle w:val="FootnoteReference"/>
        </w:rPr>
        <w:footnoteRef/>
      </w:r>
      <w:r>
        <w:t xml:space="preserve"> Regulation 9 of LN 288/2015.</w:t>
      </w:r>
    </w:p>
  </w:footnote>
  <w:footnote w:id="164">
    <w:p w14:paraId="0B243D41" w14:textId="77777777" w:rsidR="00894CB7" w:rsidRPr="007A3B2F" w:rsidRDefault="00894CB7" w:rsidP="001E6FFD">
      <w:pPr>
        <w:pStyle w:val="FootnoteText"/>
        <w:rPr>
          <w:lang w:val="en-US"/>
        </w:rPr>
      </w:pPr>
      <w:r>
        <w:rPr>
          <w:rStyle w:val="FootnoteReference"/>
        </w:rPr>
        <w:footnoteRef/>
      </w:r>
      <w:r>
        <w:t xml:space="preserve"> Information obtained through stakeholder consultation with MRVA representative on 7 March 2018.</w:t>
      </w:r>
    </w:p>
  </w:footnote>
  <w:footnote w:id="165">
    <w:p w14:paraId="10F07BDA" w14:textId="53CC71EF" w:rsidR="00894CB7" w:rsidRDefault="00894CB7" w:rsidP="00A96DBB">
      <w:pPr>
        <w:pStyle w:val="FootnoteText"/>
      </w:pPr>
      <w:r>
        <w:rPr>
          <w:rStyle w:val="FootnoteReference"/>
        </w:rPr>
        <w:footnoteRef/>
      </w:r>
      <w:r>
        <w:t xml:space="preserve"> Information obtained through stakeholder consultation with MRVA representative on 7 March 2018.</w:t>
      </w:r>
    </w:p>
  </w:footnote>
  <w:footnote w:id="166">
    <w:p w14:paraId="48879D5D" w14:textId="7EA32DFE"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67">
    <w:p w14:paraId="2F993787" w14:textId="6547A42F" w:rsidR="00894CB7" w:rsidRDefault="00894CB7" w:rsidP="00A35294">
      <w:pPr>
        <w:pStyle w:val="FootnoteText"/>
      </w:pPr>
      <w:r>
        <w:rPr>
          <w:rStyle w:val="FootnoteReference"/>
        </w:rPr>
        <w:footnoteRef/>
      </w:r>
      <w:r>
        <w:t xml:space="preserve"> The additional requirements with respect to the Individual Investor Programme are described in Deliverable BI.</w:t>
      </w:r>
    </w:p>
  </w:footnote>
  <w:footnote w:id="168">
    <w:p w14:paraId="3D77F15A" w14:textId="2EBAB9C2" w:rsidR="00894CB7" w:rsidRPr="00CA6D13" w:rsidRDefault="00894CB7">
      <w:pPr>
        <w:pStyle w:val="FootnoteText"/>
        <w:rPr>
          <w:lang w:val="en-US"/>
        </w:rPr>
      </w:pPr>
      <w:r>
        <w:rPr>
          <w:rStyle w:val="FootnoteReference"/>
        </w:rPr>
        <w:footnoteRef/>
      </w:r>
      <w:r>
        <w:t xml:space="preserve"> Information obtained through stakeholder consultation with MRVA representative on 7 March 2018.</w:t>
      </w:r>
    </w:p>
  </w:footnote>
  <w:footnote w:id="169">
    <w:p w14:paraId="19069126" w14:textId="54C80AED" w:rsidR="00894CB7" w:rsidRDefault="00894CB7">
      <w:pPr>
        <w:pStyle w:val="FootnoteText"/>
      </w:pPr>
      <w:r>
        <w:rPr>
          <w:rStyle w:val="FootnoteReference"/>
        </w:rPr>
        <w:footnoteRef/>
      </w:r>
      <w:r>
        <w:t xml:space="preserve"> Information obtained through stakeholder consultation with MRVA representative on 7 March 2018.</w:t>
      </w:r>
    </w:p>
  </w:footnote>
  <w:footnote w:id="170">
    <w:p w14:paraId="0EB4A282" w14:textId="7DB6539A" w:rsidR="00894CB7" w:rsidRDefault="00894CB7">
      <w:pPr>
        <w:pStyle w:val="FootnoteText"/>
      </w:pPr>
      <w:r>
        <w:rPr>
          <w:rStyle w:val="FootnoteReference"/>
        </w:rPr>
        <w:footnoteRef/>
      </w:r>
      <w:r>
        <w:t xml:space="preserve"> Article 102(1) of the Constitution of Malta.</w:t>
      </w:r>
    </w:p>
  </w:footnote>
  <w:footnote w:id="171">
    <w:p w14:paraId="262D9A97" w14:textId="583213A4" w:rsidR="00894CB7" w:rsidRDefault="00894CB7">
      <w:pPr>
        <w:pStyle w:val="FootnoteText"/>
      </w:pPr>
      <w:r>
        <w:rPr>
          <w:rStyle w:val="FootnoteReference"/>
        </w:rPr>
        <w:footnoteRef/>
      </w:r>
      <w:r>
        <w:t xml:space="preserve"> Ministry for the economy, ‘Global Residence Programme is Launched’: </w:t>
      </w:r>
      <w:hyperlink r:id="rId54" w:history="1">
        <w:r w:rsidRPr="001F25ED">
          <w:rPr>
            <w:rStyle w:val="Hyperlink"/>
          </w:rPr>
          <w:t>https://economy.gov.mt/en/globalresidence/Pages/home.aspx</w:t>
        </w:r>
      </w:hyperlink>
      <w:r>
        <w:t xml:space="preserve"> </w:t>
      </w:r>
    </w:p>
  </w:footnote>
  <w:footnote w:id="172">
    <w:p w14:paraId="5FD1ABE3" w14:textId="1567A356" w:rsidR="00894CB7" w:rsidRDefault="00894CB7">
      <w:pPr>
        <w:pStyle w:val="FootnoteText"/>
      </w:pPr>
      <w:r>
        <w:rPr>
          <w:rStyle w:val="FootnoteReference"/>
        </w:rPr>
        <w:footnoteRef/>
      </w:r>
      <w:r>
        <w:t xml:space="preserve"> Ministry for the economy, ‘Global Residence Programme is Launched’: </w:t>
      </w:r>
      <w:hyperlink r:id="rId55" w:history="1">
        <w:r w:rsidRPr="001F25ED">
          <w:rPr>
            <w:rStyle w:val="Hyperlink"/>
          </w:rPr>
          <w:t>https://economy.gov.mt/en/globalresidence/Pages/home.aspx</w:t>
        </w:r>
      </w:hyperlink>
    </w:p>
  </w:footnote>
  <w:footnote w:id="173">
    <w:p w14:paraId="237042D8" w14:textId="1FAF43FD" w:rsidR="00894CB7" w:rsidRDefault="00894CB7">
      <w:pPr>
        <w:pStyle w:val="FootnoteText"/>
      </w:pPr>
      <w:r>
        <w:rPr>
          <w:rStyle w:val="FootnoteReference"/>
        </w:rPr>
        <w:footnoteRef/>
      </w:r>
      <w:r>
        <w:t xml:space="preserve"> See e.g. ‘The Global Residence Programme - </w:t>
      </w:r>
      <w:proofErr w:type="spellStart"/>
      <w:r>
        <w:t>Gozo</w:t>
      </w:r>
      <w:proofErr w:type="spellEnd"/>
      <w:r>
        <w:t xml:space="preserve"> as an Exclusive Residence Destination’: </w:t>
      </w:r>
      <w:hyperlink r:id="rId56" w:history="1">
        <w:r w:rsidRPr="001F25ED">
          <w:rPr>
            <w:rStyle w:val="Hyperlink"/>
          </w:rPr>
          <w:t>https://economy.gov.mt/en/globalresidence/Documents/Gozo%20as%20an%20Exclusive%20Residence%20Destination.pdf</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7EFB" w14:textId="77777777" w:rsidR="00894CB7" w:rsidRPr="00D65D3B" w:rsidRDefault="00894CB7" w:rsidP="00204BA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H2"/>
      <w:lvlText w:val="%1.%2"/>
      <w:lvlJc w:val="left"/>
      <w:pPr>
        <w:tabs>
          <w:tab w:val="num" w:pos="2987"/>
        </w:tabs>
        <w:ind w:left="2987"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 w15:restartNumberingAfterBreak="0">
    <w:nsid w:val="14803790"/>
    <w:multiLevelType w:val="hybridMultilevel"/>
    <w:tmpl w:val="79F406D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CA2C15"/>
    <w:multiLevelType w:val="hybridMultilevel"/>
    <w:tmpl w:val="AA2C0DF8"/>
    <w:lvl w:ilvl="0" w:tplc="08090015">
      <w:start w:val="1"/>
      <w:numFmt w:val="bullet"/>
      <w:lvlText w:val=""/>
      <w:lvlJc w:val="left"/>
      <w:pPr>
        <w:ind w:left="785" w:hanging="360"/>
      </w:pPr>
      <w:rPr>
        <w:rFonts w:ascii="Wingdings" w:hAnsi="Wingdings" w:hint="default"/>
        <w:b w:val="0"/>
        <w:i w:val="0"/>
        <w:color w:val="4F81BD"/>
        <w:sz w:val="16"/>
        <w:u w:color="000080"/>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3" w15:restartNumberingAfterBreak="0">
    <w:nsid w:val="15BD23B1"/>
    <w:multiLevelType w:val="hybridMultilevel"/>
    <w:tmpl w:val="5D086888"/>
    <w:lvl w:ilvl="0" w:tplc="08090015">
      <w:start w:val="1"/>
      <w:numFmt w:val="bullet"/>
      <w:lvlText w:val=""/>
      <w:lvlJc w:val="left"/>
      <w:pPr>
        <w:ind w:left="1080" w:hanging="360"/>
      </w:pPr>
      <w:rPr>
        <w:rFonts w:ascii="Wingdings" w:hAnsi="Wingdings" w:hint="default"/>
        <w:b w:val="0"/>
        <w:i w:val="0"/>
        <w:color w:val="4F81BD"/>
        <w:sz w:val="16"/>
        <w:u w:color="00008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A55616B"/>
    <w:multiLevelType w:val="hybridMultilevel"/>
    <w:tmpl w:val="DC38E8F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C022410"/>
    <w:multiLevelType w:val="hybridMultilevel"/>
    <w:tmpl w:val="86923646"/>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A81D44"/>
    <w:multiLevelType w:val="hybridMultilevel"/>
    <w:tmpl w:val="F8988B78"/>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296CCA"/>
    <w:multiLevelType w:val="hybridMultilevel"/>
    <w:tmpl w:val="09A417D2"/>
    <w:lvl w:ilvl="0" w:tplc="F4FC1A66">
      <w:start w:val="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23A4EF9"/>
    <w:multiLevelType w:val="hybridMultilevel"/>
    <w:tmpl w:val="640A3C9E"/>
    <w:lvl w:ilvl="0" w:tplc="1E0C213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5E153C"/>
    <w:multiLevelType w:val="hybridMultilevel"/>
    <w:tmpl w:val="972E36D0"/>
    <w:lvl w:ilvl="0" w:tplc="A71A369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4157F90"/>
    <w:multiLevelType w:val="hybridMultilevel"/>
    <w:tmpl w:val="9C48FEE6"/>
    <w:lvl w:ilvl="0" w:tplc="753AA3A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6E561E2"/>
    <w:multiLevelType w:val="hybridMultilevel"/>
    <w:tmpl w:val="68002FCA"/>
    <w:lvl w:ilvl="0" w:tplc="2FF671C8">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15:restartNumberingAfterBreak="0">
    <w:nsid w:val="344866F2"/>
    <w:multiLevelType w:val="hybridMultilevel"/>
    <w:tmpl w:val="53EAB092"/>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A125BC"/>
    <w:multiLevelType w:val="hybridMultilevel"/>
    <w:tmpl w:val="BA64038A"/>
    <w:lvl w:ilvl="0" w:tplc="5978CA9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1A43C7"/>
    <w:multiLevelType w:val="hybridMultilevel"/>
    <w:tmpl w:val="DBA2835E"/>
    <w:lvl w:ilvl="0" w:tplc="194CF88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755091A"/>
    <w:multiLevelType w:val="hybridMultilevel"/>
    <w:tmpl w:val="BEC042B6"/>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B8A584E"/>
    <w:multiLevelType w:val="hybridMultilevel"/>
    <w:tmpl w:val="BF04AE4C"/>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D22741"/>
    <w:multiLevelType w:val="multilevel"/>
    <w:tmpl w:val="9C94776A"/>
    <w:lvl w:ilvl="0">
      <w:start w:val="1"/>
      <w:numFmt w:val="bullet"/>
      <w:pStyle w:val="MMultilevel"/>
      <w:lvlText w:val=""/>
      <w:lvlJc w:val="left"/>
      <w:pPr>
        <w:ind w:left="425" w:hanging="425"/>
      </w:pPr>
      <w:rPr>
        <w:rFonts w:ascii="Wingdings" w:hAnsi="Wingdings" w:hint="default"/>
        <w:caps w:val="0"/>
        <w:strike w:val="0"/>
        <w:dstrike w:val="0"/>
        <w:vanish w:val="0"/>
        <w:color w:val="4F81BD" w:themeColor="accent1"/>
        <w:sz w:val="16"/>
        <w:szCs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0" w15:restartNumberingAfterBreak="0">
    <w:nsid w:val="41B57AD2"/>
    <w:multiLevelType w:val="hybridMultilevel"/>
    <w:tmpl w:val="59A441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2213F8B"/>
    <w:multiLevelType w:val="hybridMultilevel"/>
    <w:tmpl w:val="CE262A9C"/>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43B4008C"/>
    <w:multiLevelType w:val="hybridMultilevel"/>
    <w:tmpl w:val="35CEA936"/>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0760BA0"/>
    <w:multiLevelType w:val="hybridMultilevel"/>
    <w:tmpl w:val="639246EE"/>
    <w:lvl w:ilvl="0" w:tplc="8FBEED3C">
      <w:start w:val="1"/>
      <w:numFmt w:val="bullet"/>
      <w:lvlText w:val=""/>
      <w:lvlJc w:val="left"/>
      <w:pPr>
        <w:ind w:left="1080" w:hanging="360"/>
      </w:pPr>
      <w:rPr>
        <w:rFonts w:ascii="Wingdings" w:hAnsi="Wingdings" w:hint="default"/>
        <w:b w:val="0"/>
        <w:i w:val="0"/>
        <w:color w:val="4F81BD"/>
        <w:sz w:val="16"/>
        <w:u w:color="00008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5237607F"/>
    <w:multiLevelType w:val="hybridMultilevel"/>
    <w:tmpl w:val="C0949DB8"/>
    <w:lvl w:ilvl="0" w:tplc="2FD8E918">
      <w:start w:val="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27461FE"/>
    <w:multiLevelType w:val="hybridMultilevel"/>
    <w:tmpl w:val="BA30514A"/>
    <w:lvl w:ilvl="0" w:tplc="7E1A079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4353C95"/>
    <w:multiLevelType w:val="hybridMultilevel"/>
    <w:tmpl w:val="ABD454CE"/>
    <w:lvl w:ilvl="0" w:tplc="1E5C269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491037E"/>
    <w:multiLevelType w:val="hybridMultilevel"/>
    <w:tmpl w:val="9F7266F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045D3E"/>
    <w:multiLevelType w:val="multilevel"/>
    <w:tmpl w:val="9AB23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A5714AF"/>
    <w:multiLevelType w:val="hybridMultilevel"/>
    <w:tmpl w:val="441A1174"/>
    <w:lvl w:ilvl="0" w:tplc="1E0C213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FE92BAC"/>
    <w:multiLevelType w:val="hybridMultilevel"/>
    <w:tmpl w:val="30AA61D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0D80E78"/>
    <w:multiLevelType w:val="hybridMultilevel"/>
    <w:tmpl w:val="3EF4AB7A"/>
    <w:lvl w:ilvl="0" w:tplc="BF5A505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15:restartNumberingAfterBreak="0">
    <w:nsid w:val="6443358B"/>
    <w:multiLevelType w:val="hybridMultilevel"/>
    <w:tmpl w:val="86F85D82"/>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2325B2"/>
    <w:multiLevelType w:val="multilevel"/>
    <w:tmpl w:val="9260D34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7E17501"/>
    <w:multiLevelType w:val="multilevel"/>
    <w:tmpl w:val="162E5D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7" w15:restartNumberingAfterBreak="0">
    <w:nsid w:val="6D936918"/>
    <w:multiLevelType w:val="hybridMultilevel"/>
    <w:tmpl w:val="F7CC1348"/>
    <w:lvl w:ilvl="0" w:tplc="08090015">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F671D5E"/>
    <w:multiLevelType w:val="hybridMultilevel"/>
    <w:tmpl w:val="D0DAB0C2"/>
    <w:lvl w:ilvl="0" w:tplc="8FBEED3C">
      <w:start w:val="1"/>
      <w:numFmt w:val="bullet"/>
      <w:lvlText w:val=""/>
      <w:lvlJc w:val="left"/>
      <w:pPr>
        <w:ind w:left="774" w:hanging="360"/>
      </w:pPr>
      <w:rPr>
        <w:rFonts w:ascii="Wingdings" w:hAnsi="Wingdings" w:hint="default"/>
        <w:b w:val="0"/>
        <w:i w:val="0"/>
        <w:color w:val="4F81BD"/>
        <w:sz w:val="16"/>
        <w:u w:color="000080"/>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39" w15:restartNumberingAfterBreak="0">
    <w:nsid w:val="71F45B5A"/>
    <w:multiLevelType w:val="hybridMultilevel"/>
    <w:tmpl w:val="3D9625E2"/>
    <w:lvl w:ilvl="0" w:tplc="17CC3BD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2810DDF"/>
    <w:multiLevelType w:val="hybridMultilevel"/>
    <w:tmpl w:val="D0D04AF6"/>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311C7D"/>
    <w:multiLevelType w:val="multilevel"/>
    <w:tmpl w:val="C4E2BA8C"/>
    <w:styleLink w:val="Style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2" w15:restartNumberingAfterBreak="0">
    <w:nsid w:val="79F73D46"/>
    <w:multiLevelType w:val="multilevel"/>
    <w:tmpl w:val="D6147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F2D468C"/>
    <w:multiLevelType w:val="hybridMultilevel"/>
    <w:tmpl w:val="3692CF80"/>
    <w:lvl w:ilvl="0" w:tplc="08090015">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C45DD1"/>
    <w:multiLevelType w:val="hybridMultilevel"/>
    <w:tmpl w:val="A4560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2"/>
  </w:num>
  <w:num w:numId="2">
    <w:abstractNumId w:val="36"/>
  </w:num>
  <w:num w:numId="3">
    <w:abstractNumId w:val="0"/>
  </w:num>
  <w:num w:numId="4">
    <w:abstractNumId w:val="13"/>
  </w:num>
  <w:num w:numId="5">
    <w:abstractNumId w:val="19"/>
  </w:num>
  <w:num w:numId="6">
    <w:abstractNumId w:val="5"/>
  </w:num>
  <w:num w:numId="7">
    <w:abstractNumId w:val="0"/>
  </w:num>
  <w:num w:numId="8">
    <w:abstractNumId w:val="41"/>
  </w:num>
  <w:num w:numId="9">
    <w:abstractNumId w:val="37"/>
  </w:num>
  <w:num w:numId="10">
    <w:abstractNumId w:val="4"/>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5"/>
  </w:num>
  <w:num w:numId="13">
    <w:abstractNumId w:val="21"/>
  </w:num>
  <w:num w:numId="14">
    <w:abstractNumId w:val="8"/>
  </w:num>
  <w:num w:numId="15">
    <w:abstractNumId w:val="24"/>
  </w:num>
  <w:num w:numId="16">
    <w:abstractNumId w:val="7"/>
  </w:num>
  <w:num w:numId="17">
    <w:abstractNumId w:val="2"/>
  </w:num>
  <w:num w:numId="18">
    <w:abstractNumId w:val="33"/>
  </w:num>
  <w:num w:numId="19">
    <w:abstractNumId w:val="14"/>
  </w:num>
  <w:num w:numId="20">
    <w:abstractNumId w:val="40"/>
  </w:num>
  <w:num w:numId="21">
    <w:abstractNumId w:val="3"/>
  </w:num>
  <w:num w:numId="22">
    <w:abstractNumId w:val="22"/>
  </w:num>
  <w:num w:numId="23">
    <w:abstractNumId w:val="18"/>
  </w:num>
  <w:num w:numId="24">
    <w:abstractNumId w:val="9"/>
  </w:num>
  <w:num w:numId="25">
    <w:abstractNumId w:val="29"/>
  </w:num>
  <w:num w:numId="26">
    <w:abstractNumId w:val="17"/>
  </w:num>
  <w:num w:numId="27">
    <w:abstractNumId w:val="43"/>
  </w:num>
  <w:num w:numId="28">
    <w:abstractNumId w:val="12"/>
  </w:num>
  <w:num w:numId="29">
    <w:abstractNumId w:val="23"/>
  </w:num>
  <w:num w:numId="30">
    <w:abstractNumId w:val="26"/>
  </w:num>
  <w:num w:numId="31">
    <w:abstractNumId w:val="39"/>
  </w:num>
  <w:num w:numId="32">
    <w:abstractNumId w:val="15"/>
  </w:num>
  <w:num w:numId="33">
    <w:abstractNumId w:val="30"/>
  </w:num>
  <w:num w:numId="34">
    <w:abstractNumId w:val="16"/>
  </w:num>
  <w:num w:numId="35">
    <w:abstractNumId w:val="10"/>
  </w:num>
  <w:num w:numId="36">
    <w:abstractNumId w:val="11"/>
  </w:num>
  <w:num w:numId="37">
    <w:abstractNumId w:val="1"/>
  </w:num>
  <w:num w:numId="38">
    <w:abstractNumId w:val="31"/>
  </w:num>
  <w:num w:numId="39">
    <w:abstractNumId w:val="38"/>
  </w:num>
  <w:num w:numId="40">
    <w:abstractNumId w:val="34"/>
  </w:num>
  <w:num w:numId="41">
    <w:abstractNumId w:val="42"/>
  </w:num>
  <w:num w:numId="42">
    <w:abstractNumId w:val="28"/>
  </w:num>
  <w:num w:numId="43">
    <w:abstractNumId w:val="35"/>
  </w:num>
  <w:num w:numId="44">
    <w:abstractNumId w:val="6"/>
  </w:num>
  <w:num w:numId="45">
    <w:abstractNumId w:val="27"/>
  </w:num>
  <w:num w:numId="46">
    <w:abstractNumId w:val="20"/>
  </w:num>
  <w:num w:numId="47">
    <w:abstractNumId w:val="4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15"/>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4962"/>
    <w:rsid w:val="00004FF4"/>
    <w:rsid w:val="00010D61"/>
    <w:rsid w:val="000112D6"/>
    <w:rsid w:val="0001137E"/>
    <w:rsid w:val="0001214D"/>
    <w:rsid w:val="00012DCE"/>
    <w:rsid w:val="0001644C"/>
    <w:rsid w:val="00017518"/>
    <w:rsid w:val="00017589"/>
    <w:rsid w:val="0001760D"/>
    <w:rsid w:val="0001799A"/>
    <w:rsid w:val="000200BD"/>
    <w:rsid w:val="00021362"/>
    <w:rsid w:val="000223A5"/>
    <w:rsid w:val="00022864"/>
    <w:rsid w:val="00022CB4"/>
    <w:rsid w:val="00022F71"/>
    <w:rsid w:val="0002369B"/>
    <w:rsid w:val="000246FC"/>
    <w:rsid w:val="000250FE"/>
    <w:rsid w:val="00025E64"/>
    <w:rsid w:val="00030260"/>
    <w:rsid w:val="00030E8A"/>
    <w:rsid w:val="00033B4A"/>
    <w:rsid w:val="00033C0B"/>
    <w:rsid w:val="00035609"/>
    <w:rsid w:val="00035E4A"/>
    <w:rsid w:val="0003617B"/>
    <w:rsid w:val="00036A3A"/>
    <w:rsid w:val="000376C1"/>
    <w:rsid w:val="00037885"/>
    <w:rsid w:val="00037D7C"/>
    <w:rsid w:val="00042F15"/>
    <w:rsid w:val="000455DF"/>
    <w:rsid w:val="00045A8A"/>
    <w:rsid w:val="0004602D"/>
    <w:rsid w:val="000473EF"/>
    <w:rsid w:val="00047DFA"/>
    <w:rsid w:val="00047F23"/>
    <w:rsid w:val="0005157D"/>
    <w:rsid w:val="000522FA"/>
    <w:rsid w:val="000523EE"/>
    <w:rsid w:val="00053B1D"/>
    <w:rsid w:val="00053CC7"/>
    <w:rsid w:val="00054955"/>
    <w:rsid w:val="00054A43"/>
    <w:rsid w:val="0005677D"/>
    <w:rsid w:val="00057CC0"/>
    <w:rsid w:val="00057E7F"/>
    <w:rsid w:val="00063DC0"/>
    <w:rsid w:val="000647AE"/>
    <w:rsid w:val="00066125"/>
    <w:rsid w:val="0007096F"/>
    <w:rsid w:val="0007122D"/>
    <w:rsid w:val="00073BC0"/>
    <w:rsid w:val="00075201"/>
    <w:rsid w:val="00075EC8"/>
    <w:rsid w:val="0007614E"/>
    <w:rsid w:val="00076D49"/>
    <w:rsid w:val="00077E19"/>
    <w:rsid w:val="000804A3"/>
    <w:rsid w:val="00080E5E"/>
    <w:rsid w:val="000811F0"/>
    <w:rsid w:val="00081914"/>
    <w:rsid w:val="00082305"/>
    <w:rsid w:val="00085C75"/>
    <w:rsid w:val="00090B2D"/>
    <w:rsid w:val="000923CC"/>
    <w:rsid w:val="000A0B51"/>
    <w:rsid w:val="000A1092"/>
    <w:rsid w:val="000A177C"/>
    <w:rsid w:val="000A5409"/>
    <w:rsid w:val="000A578E"/>
    <w:rsid w:val="000A5990"/>
    <w:rsid w:val="000B0F0A"/>
    <w:rsid w:val="000B17A9"/>
    <w:rsid w:val="000B1A98"/>
    <w:rsid w:val="000B2156"/>
    <w:rsid w:val="000B27BD"/>
    <w:rsid w:val="000C10D1"/>
    <w:rsid w:val="000C1BB9"/>
    <w:rsid w:val="000C1F7A"/>
    <w:rsid w:val="000C2425"/>
    <w:rsid w:val="000C2824"/>
    <w:rsid w:val="000C3447"/>
    <w:rsid w:val="000C3553"/>
    <w:rsid w:val="000C462C"/>
    <w:rsid w:val="000C507F"/>
    <w:rsid w:val="000C5216"/>
    <w:rsid w:val="000C5989"/>
    <w:rsid w:val="000C59DD"/>
    <w:rsid w:val="000C6366"/>
    <w:rsid w:val="000C6609"/>
    <w:rsid w:val="000C6D10"/>
    <w:rsid w:val="000C6ECE"/>
    <w:rsid w:val="000C74BF"/>
    <w:rsid w:val="000D1C0D"/>
    <w:rsid w:val="000D24D9"/>
    <w:rsid w:val="000D2F8E"/>
    <w:rsid w:val="000D364F"/>
    <w:rsid w:val="000D63B4"/>
    <w:rsid w:val="000D6D9D"/>
    <w:rsid w:val="000E0695"/>
    <w:rsid w:val="000E06A6"/>
    <w:rsid w:val="000E2C57"/>
    <w:rsid w:val="000E526C"/>
    <w:rsid w:val="000E5B23"/>
    <w:rsid w:val="000E7600"/>
    <w:rsid w:val="000F1882"/>
    <w:rsid w:val="000F3A60"/>
    <w:rsid w:val="000F4AC6"/>
    <w:rsid w:val="000F5188"/>
    <w:rsid w:val="000F668D"/>
    <w:rsid w:val="00100127"/>
    <w:rsid w:val="0010026B"/>
    <w:rsid w:val="00101FA0"/>
    <w:rsid w:val="00102253"/>
    <w:rsid w:val="001037CE"/>
    <w:rsid w:val="00103DF5"/>
    <w:rsid w:val="001054ED"/>
    <w:rsid w:val="0011214D"/>
    <w:rsid w:val="001123F3"/>
    <w:rsid w:val="00117B52"/>
    <w:rsid w:val="00117BAC"/>
    <w:rsid w:val="00120042"/>
    <w:rsid w:val="001206F4"/>
    <w:rsid w:val="001224F2"/>
    <w:rsid w:val="0012423F"/>
    <w:rsid w:val="00125682"/>
    <w:rsid w:val="0013236E"/>
    <w:rsid w:val="00133293"/>
    <w:rsid w:val="00134A18"/>
    <w:rsid w:val="00134F72"/>
    <w:rsid w:val="001350D2"/>
    <w:rsid w:val="001357E7"/>
    <w:rsid w:val="00135E2C"/>
    <w:rsid w:val="00135FE7"/>
    <w:rsid w:val="001365F0"/>
    <w:rsid w:val="00137D30"/>
    <w:rsid w:val="00140C33"/>
    <w:rsid w:val="0014120F"/>
    <w:rsid w:val="00141EFD"/>
    <w:rsid w:val="001427AF"/>
    <w:rsid w:val="00144BF6"/>
    <w:rsid w:val="0014740F"/>
    <w:rsid w:val="001503C1"/>
    <w:rsid w:val="001510DD"/>
    <w:rsid w:val="001526CD"/>
    <w:rsid w:val="00152A18"/>
    <w:rsid w:val="00153C1F"/>
    <w:rsid w:val="00160163"/>
    <w:rsid w:val="00161F7A"/>
    <w:rsid w:val="0016448E"/>
    <w:rsid w:val="00165BD0"/>
    <w:rsid w:val="0016609D"/>
    <w:rsid w:val="001662D4"/>
    <w:rsid w:val="00170244"/>
    <w:rsid w:val="00170C39"/>
    <w:rsid w:val="00173094"/>
    <w:rsid w:val="0017309F"/>
    <w:rsid w:val="00174BF1"/>
    <w:rsid w:val="00175487"/>
    <w:rsid w:val="0017712A"/>
    <w:rsid w:val="001771ED"/>
    <w:rsid w:val="00177566"/>
    <w:rsid w:val="00180242"/>
    <w:rsid w:val="0018200A"/>
    <w:rsid w:val="001834BA"/>
    <w:rsid w:val="00184BF3"/>
    <w:rsid w:val="00185983"/>
    <w:rsid w:val="00192125"/>
    <w:rsid w:val="0019265C"/>
    <w:rsid w:val="0019372C"/>
    <w:rsid w:val="00194359"/>
    <w:rsid w:val="0019607E"/>
    <w:rsid w:val="00197F2A"/>
    <w:rsid w:val="001A0382"/>
    <w:rsid w:val="001A176D"/>
    <w:rsid w:val="001A4866"/>
    <w:rsid w:val="001A540F"/>
    <w:rsid w:val="001A5455"/>
    <w:rsid w:val="001A5FE4"/>
    <w:rsid w:val="001A6408"/>
    <w:rsid w:val="001B161E"/>
    <w:rsid w:val="001B2A14"/>
    <w:rsid w:val="001B66BC"/>
    <w:rsid w:val="001B68AD"/>
    <w:rsid w:val="001C0D41"/>
    <w:rsid w:val="001C1106"/>
    <w:rsid w:val="001C1B7A"/>
    <w:rsid w:val="001C1E15"/>
    <w:rsid w:val="001C292B"/>
    <w:rsid w:val="001C3818"/>
    <w:rsid w:val="001C428C"/>
    <w:rsid w:val="001C6503"/>
    <w:rsid w:val="001D0A03"/>
    <w:rsid w:val="001D1655"/>
    <w:rsid w:val="001D1B39"/>
    <w:rsid w:val="001D28AA"/>
    <w:rsid w:val="001D4B23"/>
    <w:rsid w:val="001D4E3B"/>
    <w:rsid w:val="001D4FD2"/>
    <w:rsid w:val="001D7D74"/>
    <w:rsid w:val="001D7DA5"/>
    <w:rsid w:val="001E4D27"/>
    <w:rsid w:val="001E684B"/>
    <w:rsid w:val="001E6FFD"/>
    <w:rsid w:val="001F0937"/>
    <w:rsid w:val="001F14FD"/>
    <w:rsid w:val="001F2DAA"/>
    <w:rsid w:val="001F38F2"/>
    <w:rsid w:val="001F4896"/>
    <w:rsid w:val="001F7251"/>
    <w:rsid w:val="001F73B8"/>
    <w:rsid w:val="0020229F"/>
    <w:rsid w:val="002023A7"/>
    <w:rsid w:val="002024C9"/>
    <w:rsid w:val="0020292F"/>
    <w:rsid w:val="00203384"/>
    <w:rsid w:val="00204BA5"/>
    <w:rsid w:val="00205690"/>
    <w:rsid w:val="002060C0"/>
    <w:rsid w:val="00206196"/>
    <w:rsid w:val="00206933"/>
    <w:rsid w:val="002104D4"/>
    <w:rsid w:val="00212B5E"/>
    <w:rsid w:val="00213133"/>
    <w:rsid w:val="00213E3A"/>
    <w:rsid w:val="00214D8E"/>
    <w:rsid w:val="00215399"/>
    <w:rsid w:val="002155B8"/>
    <w:rsid w:val="002178FE"/>
    <w:rsid w:val="00217C7F"/>
    <w:rsid w:val="00223F8C"/>
    <w:rsid w:val="00226537"/>
    <w:rsid w:val="002356B0"/>
    <w:rsid w:val="002358B8"/>
    <w:rsid w:val="00236317"/>
    <w:rsid w:val="0023733E"/>
    <w:rsid w:val="002404E3"/>
    <w:rsid w:val="00240889"/>
    <w:rsid w:val="00241E07"/>
    <w:rsid w:val="0024637B"/>
    <w:rsid w:val="00246C7A"/>
    <w:rsid w:val="00247EAF"/>
    <w:rsid w:val="0025050F"/>
    <w:rsid w:val="0025058C"/>
    <w:rsid w:val="00251325"/>
    <w:rsid w:val="0025204C"/>
    <w:rsid w:val="00254818"/>
    <w:rsid w:val="0026173E"/>
    <w:rsid w:val="002636C6"/>
    <w:rsid w:val="002670E8"/>
    <w:rsid w:val="00270C12"/>
    <w:rsid w:val="002724C3"/>
    <w:rsid w:val="00272DA1"/>
    <w:rsid w:val="00274232"/>
    <w:rsid w:val="00276435"/>
    <w:rsid w:val="0027732B"/>
    <w:rsid w:val="00277D21"/>
    <w:rsid w:val="00280327"/>
    <w:rsid w:val="00280553"/>
    <w:rsid w:val="002805C2"/>
    <w:rsid w:val="002808C6"/>
    <w:rsid w:val="00282730"/>
    <w:rsid w:val="00282E22"/>
    <w:rsid w:val="002838DB"/>
    <w:rsid w:val="00283D09"/>
    <w:rsid w:val="00284A91"/>
    <w:rsid w:val="00284E94"/>
    <w:rsid w:val="00284FB6"/>
    <w:rsid w:val="0028618D"/>
    <w:rsid w:val="00286885"/>
    <w:rsid w:val="00287E74"/>
    <w:rsid w:val="002908E7"/>
    <w:rsid w:val="00290ED0"/>
    <w:rsid w:val="0029229A"/>
    <w:rsid w:val="0029305F"/>
    <w:rsid w:val="00293A4E"/>
    <w:rsid w:val="002941FF"/>
    <w:rsid w:val="00294236"/>
    <w:rsid w:val="0029594E"/>
    <w:rsid w:val="00295E6E"/>
    <w:rsid w:val="00296F7D"/>
    <w:rsid w:val="00297265"/>
    <w:rsid w:val="002975AE"/>
    <w:rsid w:val="00297B44"/>
    <w:rsid w:val="002A0F31"/>
    <w:rsid w:val="002A2B37"/>
    <w:rsid w:val="002A5F22"/>
    <w:rsid w:val="002A638B"/>
    <w:rsid w:val="002B0460"/>
    <w:rsid w:val="002B5D09"/>
    <w:rsid w:val="002C01BE"/>
    <w:rsid w:val="002C5AC7"/>
    <w:rsid w:val="002C5F9C"/>
    <w:rsid w:val="002C72F1"/>
    <w:rsid w:val="002C7F87"/>
    <w:rsid w:val="002D1370"/>
    <w:rsid w:val="002D2E87"/>
    <w:rsid w:val="002D37F6"/>
    <w:rsid w:val="002D3B90"/>
    <w:rsid w:val="002D4298"/>
    <w:rsid w:val="002D5616"/>
    <w:rsid w:val="002D5AED"/>
    <w:rsid w:val="002D5CF9"/>
    <w:rsid w:val="002D5DD8"/>
    <w:rsid w:val="002E09B3"/>
    <w:rsid w:val="002E2FC2"/>
    <w:rsid w:val="002E77CA"/>
    <w:rsid w:val="002E78B0"/>
    <w:rsid w:val="002E7ADA"/>
    <w:rsid w:val="002E7B2B"/>
    <w:rsid w:val="002F0288"/>
    <w:rsid w:val="002F04B4"/>
    <w:rsid w:val="002F129F"/>
    <w:rsid w:val="002F1880"/>
    <w:rsid w:val="002F295A"/>
    <w:rsid w:val="002F4E70"/>
    <w:rsid w:val="002F674A"/>
    <w:rsid w:val="002F7BA3"/>
    <w:rsid w:val="00300380"/>
    <w:rsid w:val="0030109F"/>
    <w:rsid w:val="00302990"/>
    <w:rsid w:val="00302B2E"/>
    <w:rsid w:val="003065BE"/>
    <w:rsid w:val="00310B03"/>
    <w:rsid w:val="00310B3F"/>
    <w:rsid w:val="003118B3"/>
    <w:rsid w:val="003139D6"/>
    <w:rsid w:val="00313B0D"/>
    <w:rsid w:val="00314841"/>
    <w:rsid w:val="003149C9"/>
    <w:rsid w:val="0031505E"/>
    <w:rsid w:val="00317A98"/>
    <w:rsid w:val="003204AA"/>
    <w:rsid w:val="00323133"/>
    <w:rsid w:val="00323969"/>
    <w:rsid w:val="00324000"/>
    <w:rsid w:val="00324FF5"/>
    <w:rsid w:val="003266A6"/>
    <w:rsid w:val="003278E4"/>
    <w:rsid w:val="00327B65"/>
    <w:rsid w:val="00333E0D"/>
    <w:rsid w:val="003354D3"/>
    <w:rsid w:val="00335AA2"/>
    <w:rsid w:val="00336CF7"/>
    <w:rsid w:val="00337242"/>
    <w:rsid w:val="003404C0"/>
    <w:rsid w:val="0034175A"/>
    <w:rsid w:val="00341881"/>
    <w:rsid w:val="00342D9E"/>
    <w:rsid w:val="00343DBF"/>
    <w:rsid w:val="0034524B"/>
    <w:rsid w:val="0034536F"/>
    <w:rsid w:val="00345FBC"/>
    <w:rsid w:val="00346D85"/>
    <w:rsid w:val="00347002"/>
    <w:rsid w:val="003473C6"/>
    <w:rsid w:val="00351E21"/>
    <w:rsid w:val="003520D5"/>
    <w:rsid w:val="00355316"/>
    <w:rsid w:val="00355A4C"/>
    <w:rsid w:val="00356C16"/>
    <w:rsid w:val="00360478"/>
    <w:rsid w:val="00360E7D"/>
    <w:rsid w:val="003617BB"/>
    <w:rsid w:val="00362931"/>
    <w:rsid w:val="00364DF3"/>
    <w:rsid w:val="00365E48"/>
    <w:rsid w:val="00367325"/>
    <w:rsid w:val="00367B78"/>
    <w:rsid w:val="00371BB9"/>
    <w:rsid w:val="00372911"/>
    <w:rsid w:val="0037344C"/>
    <w:rsid w:val="003750D7"/>
    <w:rsid w:val="0037675D"/>
    <w:rsid w:val="00376E4C"/>
    <w:rsid w:val="00377819"/>
    <w:rsid w:val="00381A25"/>
    <w:rsid w:val="00381A9C"/>
    <w:rsid w:val="00383D42"/>
    <w:rsid w:val="0038535C"/>
    <w:rsid w:val="00385590"/>
    <w:rsid w:val="0038725A"/>
    <w:rsid w:val="003875FD"/>
    <w:rsid w:val="00387C01"/>
    <w:rsid w:val="00387C6B"/>
    <w:rsid w:val="00391E74"/>
    <w:rsid w:val="00392A17"/>
    <w:rsid w:val="0039467A"/>
    <w:rsid w:val="003965C6"/>
    <w:rsid w:val="00396DC7"/>
    <w:rsid w:val="00397149"/>
    <w:rsid w:val="0039776C"/>
    <w:rsid w:val="00397EAD"/>
    <w:rsid w:val="003A0B61"/>
    <w:rsid w:val="003A0C9C"/>
    <w:rsid w:val="003A1151"/>
    <w:rsid w:val="003A1921"/>
    <w:rsid w:val="003A26A1"/>
    <w:rsid w:val="003A3B72"/>
    <w:rsid w:val="003A41E8"/>
    <w:rsid w:val="003A4BB1"/>
    <w:rsid w:val="003A66AF"/>
    <w:rsid w:val="003A6929"/>
    <w:rsid w:val="003B2920"/>
    <w:rsid w:val="003B3938"/>
    <w:rsid w:val="003B794E"/>
    <w:rsid w:val="003C1247"/>
    <w:rsid w:val="003C4002"/>
    <w:rsid w:val="003C6B24"/>
    <w:rsid w:val="003D0394"/>
    <w:rsid w:val="003D14F0"/>
    <w:rsid w:val="003D19A1"/>
    <w:rsid w:val="003D2E86"/>
    <w:rsid w:val="003D609C"/>
    <w:rsid w:val="003D70D8"/>
    <w:rsid w:val="003D7C5D"/>
    <w:rsid w:val="003E0465"/>
    <w:rsid w:val="003E128C"/>
    <w:rsid w:val="003E57C3"/>
    <w:rsid w:val="003E78EF"/>
    <w:rsid w:val="003F0423"/>
    <w:rsid w:val="003F2B42"/>
    <w:rsid w:val="003F3A51"/>
    <w:rsid w:val="003F42A4"/>
    <w:rsid w:val="003F43AE"/>
    <w:rsid w:val="003F4FBD"/>
    <w:rsid w:val="003F66C7"/>
    <w:rsid w:val="003F6E7F"/>
    <w:rsid w:val="003F76D6"/>
    <w:rsid w:val="00400B0B"/>
    <w:rsid w:val="00400DE5"/>
    <w:rsid w:val="00404AA6"/>
    <w:rsid w:val="00406327"/>
    <w:rsid w:val="004073B0"/>
    <w:rsid w:val="00407CD0"/>
    <w:rsid w:val="00410A7B"/>
    <w:rsid w:val="00410BB9"/>
    <w:rsid w:val="00411117"/>
    <w:rsid w:val="00413885"/>
    <w:rsid w:val="004138CB"/>
    <w:rsid w:val="00415435"/>
    <w:rsid w:val="00417769"/>
    <w:rsid w:val="004178C6"/>
    <w:rsid w:val="00417974"/>
    <w:rsid w:val="00421BD7"/>
    <w:rsid w:val="004225B0"/>
    <w:rsid w:val="00425944"/>
    <w:rsid w:val="00426472"/>
    <w:rsid w:val="0043028A"/>
    <w:rsid w:val="004305D4"/>
    <w:rsid w:val="00431346"/>
    <w:rsid w:val="00432FB2"/>
    <w:rsid w:val="00433940"/>
    <w:rsid w:val="00433C0B"/>
    <w:rsid w:val="0043464F"/>
    <w:rsid w:val="004364E1"/>
    <w:rsid w:val="00437C90"/>
    <w:rsid w:val="004411F7"/>
    <w:rsid w:val="00442005"/>
    <w:rsid w:val="00442AC7"/>
    <w:rsid w:val="00443D35"/>
    <w:rsid w:val="00450371"/>
    <w:rsid w:val="004505AD"/>
    <w:rsid w:val="00453506"/>
    <w:rsid w:val="004553CC"/>
    <w:rsid w:val="004558B9"/>
    <w:rsid w:val="004576E4"/>
    <w:rsid w:val="00460B07"/>
    <w:rsid w:val="004614DE"/>
    <w:rsid w:val="004618A2"/>
    <w:rsid w:val="00464652"/>
    <w:rsid w:val="004646E3"/>
    <w:rsid w:val="00465C37"/>
    <w:rsid w:val="00465DA9"/>
    <w:rsid w:val="00466AA2"/>
    <w:rsid w:val="00467D86"/>
    <w:rsid w:val="00467E26"/>
    <w:rsid w:val="00467F16"/>
    <w:rsid w:val="0047104E"/>
    <w:rsid w:val="0047350D"/>
    <w:rsid w:val="00473AC1"/>
    <w:rsid w:val="0047530E"/>
    <w:rsid w:val="0048171B"/>
    <w:rsid w:val="00482C0C"/>
    <w:rsid w:val="00483E76"/>
    <w:rsid w:val="0048413A"/>
    <w:rsid w:val="00484752"/>
    <w:rsid w:val="004869D2"/>
    <w:rsid w:val="00492DB8"/>
    <w:rsid w:val="00493C2A"/>
    <w:rsid w:val="004948CC"/>
    <w:rsid w:val="004949D5"/>
    <w:rsid w:val="004953E7"/>
    <w:rsid w:val="00495883"/>
    <w:rsid w:val="00496298"/>
    <w:rsid w:val="00496E8A"/>
    <w:rsid w:val="00497221"/>
    <w:rsid w:val="004972F2"/>
    <w:rsid w:val="00497483"/>
    <w:rsid w:val="004A119F"/>
    <w:rsid w:val="004A22B4"/>
    <w:rsid w:val="004A2A62"/>
    <w:rsid w:val="004A3606"/>
    <w:rsid w:val="004A44E6"/>
    <w:rsid w:val="004A5E80"/>
    <w:rsid w:val="004A6DF1"/>
    <w:rsid w:val="004B0F8C"/>
    <w:rsid w:val="004B1BFA"/>
    <w:rsid w:val="004B2A2E"/>
    <w:rsid w:val="004B3D3C"/>
    <w:rsid w:val="004B41F0"/>
    <w:rsid w:val="004B551D"/>
    <w:rsid w:val="004C0074"/>
    <w:rsid w:val="004C32CE"/>
    <w:rsid w:val="004C3738"/>
    <w:rsid w:val="004C3816"/>
    <w:rsid w:val="004C4540"/>
    <w:rsid w:val="004C4659"/>
    <w:rsid w:val="004C4B97"/>
    <w:rsid w:val="004C5994"/>
    <w:rsid w:val="004C5E65"/>
    <w:rsid w:val="004C63A4"/>
    <w:rsid w:val="004C713E"/>
    <w:rsid w:val="004C73A4"/>
    <w:rsid w:val="004C7C15"/>
    <w:rsid w:val="004D298C"/>
    <w:rsid w:val="004D3612"/>
    <w:rsid w:val="004D3BB7"/>
    <w:rsid w:val="004D46C9"/>
    <w:rsid w:val="004D520A"/>
    <w:rsid w:val="004D5A2D"/>
    <w:rsid w:val="004E1430"/>
    <w:rsid w:val="004E278E"/>
    <w:rsid w:val="004E3E67"/>
    <w:rsid w:val="004E472A"/>
    <w:rsid w:val="004E56DD"/>
    <w:rsid w:val="004E6B0E"/>
    <w:rsid w:val="004F2565"/>
    <w:rsid w:val="004F40F6"/>
    <w:rsid w:val="004F4542"/>
    <w:rsid w:val="004F58A6"/>
    <w:rsid w:val="004F6A6B"/>
    <w:rsid w:val="004F6D92"/>
    <w:rsid w:val="00501383"/>
    <w:rsid w:val="0050262D"/>
    <w:rsid w:val="005028F0"/>
    <w:rsid w:val="00503312"/>
    <w:rsid w:val="00505D27"/>
    <w:rsid w:val="00505E81"/>
    <w:rsid w:val="00506214"/>
    <w:rsid w:val="005111BF"/>
    <w:rsid w:val="00511486"/>
    <w:rsid w:val="00511F44"/>
    <w:rsid w:val="00514501"/>
    <w:rsid w:val="00514ABB"/>
    <w:rsid w:val="00517283"/>
    <w:rsid w:val="005205EC"/>
    <w:rsid w:val="00522166"/>
    <w:rsid w:val="00522425"/>
    <w:rsid w:val="00522CD7"/>
    <w:rsid w:val="00523824"/>
    <w:rsid w:val="00524A63"/>
    <w:rsid w:val="00525165"/>
    <w:rsid w:val="005278A4"/>
    <w:rsid w:val="005278F9"/>
    <w:rsid w:val="005302A2"/>
    <w:rsid w:val="00530354"/>
    <w:rsid w:val="005319E4"/>
    <w:rsid w:val="00532559"/>
    <w:rsid w:val="00533740"/>
    <w:rsid w:val="00533A7E"/>
    <w:rsid w:val="00536994"/>
    <w:rsid w:val="00536E67"/>
    <w:rsid w:val="00536F40"/>
    <w:rsid w:val="005370CF"/>
    <w:rsid w:val="00540706"/>
    <w:rsid w:val="0054092E"/>
    <w:rsid w:val="005421E7"/>
    <w:rsid w:val="00543911"/>
    <w:rsid w:val="00546F64"/>
    <w:rsid w:val="00547E3F"/>
    <w:rsid w:val="0055374B"/>
    <w:rsid w:val="00553C6B"/>
    <w:rsid w:val="00554D53"/>
    <w:rsid w:val="00554EEF"/>
    <w:rsid w:val="005564BE"/>
    <w:rsid w:val="00556740"/>
    <w:rsid w:val="0056060C"/>
    <w:rsid w:val="00562465"/>
    <w:rsid w:val="0056277E"/>
    <w:rsid w:val="00562CE2"/>
    <w:rsid w:val="00564CF4"/>
    <w:rsid w:val="005703D4"/>
    <w:rsid w:val="005704A7"/>
    <w:rsid w:val="00570C3F"/>
    <w:rsid w:val="005724E7"/>
    <w:rsid w:val="0057534D"/>
    <w:rsid w:val="0057590D"/>
    <w:rsid w:val="00580591"/>
    <w:rsid w:val="005805A6"/>
    <w:rsid w:val="00581227"/>
    <w:rsid w:val="00581A74"/>
    <w:rsid w:val="00582464"/>
    <w:rsid w:val="00583B23"/>
    <w:rsid w:val="00583B49"/>
    <w:rsid w:val="00584245"/>
    <w:rsid w:val="00585104"/>
    <w:rsid w:val="00585ACE"/>
    <w:rsid w:val="00585AF3"/>
    <w:rsid w:val="00586037"/>
    <w:rsid w:val="00586505"/>
    <w:rsid w:val="00590213"/>
    <w:rsid w:val="005902CD"/>
    <w:rsid w:val="00590578"/>
    <w:rsid w:val="0059233B"/>
    <w:rsid w:val="005932D6"/>
    <w:rsid w:val="0059401A"/>
    <w:rsid w:val="00594C82"/>
    <w:rsid w:val="00595599"/>
    <w:rsid w:val="00595980"/>
    <w:rsid w:val="00596AA0"/>
    <w:rsid w:val="005A08C5"/>
    <w:rsid w:val="005A0E61"/>
    <w:rsid w:val="005A5597"/>
    <w:rsid w:val="005A5D8C"/>
    <w:rsid w:val="005A6C98"/>
    <w:rsid w:val="005A71BB"/>
    <w:rsid w:val="005A75F9"/>
    <w:rsid w:val="005B2101"/>
    <w:rsid w:val="005B265E"/>
    <w:rsid w:val="005B28B2"/>
    <w:rsid w:val="005B347F"/>
    <w:rsid w:val="005B6BC8"/>
    <w:rsid w:val="005B73DD"/>
    <w:rsid w:val="005C0DC2"/>
    <w:rsid w:val="005C1187"/>
    <w:rsid w:val="005C1AB5"/>
    <w:rsid w:val="005C7EC4"/>
    <w:rsid w:val="005D0C55"/>
    <w:rsid w:val="005D2BC8"/>
    <w:rsid w:val="005D323F"/>
    <w:rsid w:val="005D659A"/>
    <w:rsid w:val="005D7E61"/>
    <w:rsid w:val="005E1212"/>
    <w:rsid w:val="005F0A05"/>
    <w:rsid w:val="005F1BE9"/>
    <w:rsid w:val="005F5281"/>
    <w:rsid w:val="005F5AE1"/>
    <w:rsid w:val="0060067F"/>
    <w:rsid w:val="0060431F"/>
    <w:rsid w:val="00605B84"/>
    <w:rsid w:val="0061126E"/>
    <w:rsid w:val="00612799"/>
    <w:rsid w:val="006170AA"/>
    <w:rsid w:val="00617383"/>
    <w:rsid w:val="006204DB"/>
    <w:rsid w:val="00620CA0"/>
    <w:rsid w:val="00620D4A"/>
    <w:rsid w:val="006212C0"/>
    <w:rsid w:val="00621796"/>
    <w:rsid w:val="00621EF9"/>
    <w:rsid w:val="006236EE"/>
    <w:rsid w:val="00623F1D"/>
    <w:rsid w:val="00624033"/>
    <w:rsid w:val="00624126"/>
    <w:rsid w:val="006267CE"/>
    <w:rsid w:val="006270A2"/>
    <w:rsid w:val="006310D5"/>
    <w:rsid w:val="00631690"/>
    <w:rsid w:val="006334A2"/>
    <w:rsid w:val="00633502"/>
    <w:rsid w:val="0063383B"/>
    <w:rsid w:val="00633F27"/>
    <w:rsid w:val="006346C0"/>
    <w:rsid w:val="006358A0"/>
    <w:rsid w:val="00635D34"/>
    <w:rsid w:val="006364AD"/>
    <w:rsid w:val="006366AA"/>
    <w:rsid w:val="006366BB"/>
    <w:rsid w:val="0063758B"/>
    <w:rsid w:val="00637E94"/>
    <w:rsid w:val="00643720"/>
    <w:rsid w:val="006456AF"/>
    <w:rsid w:val="0064594D"/>
    <w:rsid w:val="00645C19"/>
    <w:rsid w:val="00646057"/>
    <w:rsid w:val="00647454"/>
    <w:rsid w:val="00647497"/>
    <w:rsid w:val="006479AC"/>
    <w:rsid w:val="00650D5D"/>
    <w:rsid w:val="00651486"/>
    <w:rsid w:val="00651ED4"/>
    <w:rsid w:val="00652FAD"/>
    <w:rsid w:val="0065593C"/>
    <w:rsid w:val="00656AB5"/>
    <w:rsid w:val="00660D1F"/>
    <w:rsid w:val="006626FE"/>
    <w:rsid w:val="00662CF7"/>
    <w:rsid w:val="006660D7"/>
    <w:rsid w:val="00666448"/>
    <w:rsid w:val="00670588"/>
    <w:rsid w:val="00671823"/>
    <w:rsid w:val="00672861"/>
    <w:rsid w:val="00672AB6"/>
    <w:rsid w:val="00673725"/>
    <w:rsid w:val="00674339"/>
    <w:rsid w:val="00674EEF"/>
    <w:rsid w:val="00675B6A"/>
    <w:rsid w:val="0067609D"/>
    <w:rsid w:val="0067641F"/>
    <w:rsid w:val="0068493E"/>
    <w:rsid w:val="00685A9E"/>
    <w:rsid w:val="00687863"/>
    <w:rsid w:val="00691DBE"/>
    <w:rsid w:val="00691EA9"/>
    <w:rsid w:val="00692543"/>
    <w:rsid w:val="00692708"/>
    <w:rsid w:val="0069270A"/>
    <w:rsid w:val="00692737"/>
    <w:rsid w:val="00692BD8"/>
    <w:rsid w:val="0069746B"/>
    <w:rsid w:val="0069748F"/>
    <w:rsid w:val="006977F0"/>
    <w:rsid w:val="006A144B"/>
    <w:rsid w:val="006A3240"/>
    <w:rsid w:val="006A3F36"/>
    <w:rsid w:val="006A43F4"/>
    <w:rsid w:val="006A60E2"/>
    <w:rsid w:val="006A652E"/>
    <w:rsid w:val="006A6B7D"/>
    <w:rsid w:val="006A79AB"/>
    <w:rsid w:val="006A7B70"/>
    <w:rsid w:val="006B0D81"/>
    <w:rsid w:val="006B19E7"/>
    <w:rsid w:val="006B3964"/>
    <w:rsid w:val="006B477D"/>
    <w:rsid w:val="006B4D83"/>
    <w:rsid w:val="006B564D"/>
    <w:rsid w:val="006B5ED7"/>
    <w:rsid w:val="006B6272"/>
    <w:rsid w:val="006B69B6"/>
    <w:rsid w:val="006C01BE"/>
    <w:rsid w:val="006C0CCF"/>
    <w:rsid w:val="006C27CB"/>
    <w:rsid w:val="006C28D3"/>
    <w:rsid w:val="006C6E47"/>
    <w:rsid w:val="006C797C"/>
    <w:rsid w:val="006C7AE0"/>
    <w:rsid w:val="006D0617"/>
    <w:rsid w:val="006D0B68"/>
    <w:rsid w:val="006D1805"/>
    <w:rsid w:val="006D55F8"/>
    <w:rsid w:val="006D59C3"/>
    <w:rsid w:val="006D7010"/>
    <w:rsid w:val="006D7260"/>
    <w:rsid w:val="006D7D65"/>
    <w:rsid w:val="006E04E3"/>
    <w:rsid w:val="006E0882"/>
    <w:rsid w:val="006F0AF8"/>
    <w:rsid w:val="006F2F47"/>
    <w:rsid w:val="006F316F"/>
    <w:rsid w:val="006F44A9"/>
    <w:rsid w:val="006F5F06"/>
    <w:rsid w:val="006F7E83"/>
    <w:rsid w:val="006F7E87"/>
    <w:rsid w:val="00700771"/>
    <w:rsid w:val="00701661"/>
    <w:rsid w:val="00701CD6"/>
    <w:rsid w:val="00703646"/>
    <w:rsid w:val="00705D71"/>
    <w:rsid w:val="007062C3"/>
    <w:rsid w:val="00706F2B"/>
    <w:rsid w:val="00707089"/>
    <w:rsid w:val="0070793B"/>
    <w:rsid w:val="00707C41"/>
    <w:rsid w:val="00714B0F"/>
    <w:rsid w:val="00715FDA"/>
    <w:rsid w:val="0072019C"/>
    <w:rsid w:val="00720CF6"/>
    <w:rsid w:val="007215F7"/>
    <w:rsid w:val="00721E7D"/>
    <w:rsid w:val="00722BA8"/>
    <w:rsid w:val="00723BEA"/>
    <w:rsid w:val="00723BF6"/>
    <w:rsid w:val="007240B4"/>
    <w:rsid w:val="007249A2"/>
    <w:rsid w:val="0072584A"/>
    <w:rsid w:val="0072650D"/>
    <w:rsid w:val="0073022D"/>
    <w:rsid w:val="00733041"/>
    <w:rsid w:val="0073481E"/>
    <w:rsid w:val="0073492B"/>
    <w:rsid w:val="00736ECB"/>
    <w:rsid w:val="007402D9"/>
    <w:rsid w:val="0074152C"/>
    <w:rsid w:val="00742BAD"/>
    <w:rsid w:val="0074306A"/>
    <w:rsid w:val="007435A3"/>
    <w:rsid w:val="00744D59"/>
    <w:rsid w:val="00745884"/>
    <w:rsid w:val="00745CB1"/>
    <w:rsid w:val="00746493"/>
    <w:rsid w:val="007466DF"/>
    <w:rsid w:val="0074713E"/>
    <w:rsid w:val="00747AF6"/>
    <w:rsid w:val="00751D24"/>
    <w:rsid w:val="007520DB"/>
    <w:rsid w:val="007525CF"/>
    <w:rsid w:val="00753373"/>
    <w:rsid w:val="00754814"/>
    <w:rsid w:val="00754962"/>
    <w:rsid w:val="0075681A"/>
    <w:rsid w:val="00757BCE"/>
    <w:rsid w:val="007601F3"/>
    <w:rsid w:val="00761FA9"/>
    <w:rsid w:val="00765B5E"/>
    <w:rsid w:val="00765E9C"/>
    <w:rsid w:val="0076771E"/>
    <w:rsid w:val="00767A6E"/>
    <w:rsid w:val="0077014A"/>
    <w:rsid w:val="00770170"/>
    <w:rsid w:val="007726FE"/>
    <w:rsid w:val="0077287A"/>
    <w:rsid w:val="00773061"/>
    <w:rsid w:val="0077457F"/>
    <w:rsid w:val="00775A6E"/>
    <w:rsid w:val="00775AD7"/>
    <w:rsid w:val="007775F7"/>
    <w:rsid w:val="0077798A"/>
    <w:rsid w:val="00777BF8"/>
    <w:rsid w:val="00780E1F"/>
    <w:rsid w:val="00780EF9"/>
    <w:rsid w:val="00781B5A"/>
    <w:rsid w:val="00783C7F"/>
    <w:rsid w:val="00784099"/>
    <w:rsid w:val="007845A5"/>
    <w:rsid w:val="007865F9"/>
    <w:rsid w:val="00787BA6"/>
    <w:rsid w:val="007906B9"/>
    <w:rsid w:val="007929FD"/>
    <w:rsid w:val="00793312"/>
    <w:rsid w:val="007934A3"/>
    <w:rsid w:val="00793E02"/>
    <w:rsid w:val="00796A12"/>
    <w:rsid w:val="007974C6"/>
    <w:rsid w:val="00797F90"/>
    <w:rsid w:val="007A2B4A"/>
    <w:rsid w:val="007A2C8B"/>
    <w:rsid w:val="007A34AE"/>
    <w:rsid w:val="007A36A3"/>
    <w:rsid w:val="007A4A54"/>
    <w:rsid w:val="007A54EB"/>
    <w:rsid w:val="007A698D"/>
    <w:rsid w:val="007B2CE3"/>
    <w:rsid w:val="007B3FF6"/>
    <w:rsid w:val="007B4516"/>
    <w:rsid w:val="007B5BEE"/>
    <w:rsid w:val="007B5F39"/>
    <w:rsid w:val="007B7784"/>
    <w:rsid w:val="007C0BEB"/>
    <w:rsid w:val="007C2F0B"/>
    <w:rsid w:val="007C41A4"/>
    <w:rsid w:val="007C4A18"/>
    <w:rsid w:val="007C7168"/>
    <w:rsid w:val="007C720A"/>
    <w:rsid w:val="007D07A0"/>
    <w:rsid w:val="007D16ED"/>
    <w:rsid w:val="007D1AEB"/>
    <w:rsid w:val="007D3B7C"/>
    <w:rsid w:val="007D7318"/>
    <w:rsid w:val="007E163B"/>
    <w:rsid w:val="007E257E"/>
    <w:rsid w:val="007E297B"/>
    <w:rsid w:val="007E4F06"/>
    <w:rsid w:val="007E5B2A"/>
    <w:rsid w:val="007E6077"/>
    <w:rsid w:val="007E70C0"/>
    <w:rsid w:val="007F0C10"/>
    <w:rsid w:val="007F2CAF"/>
    <w:rsid w:val="007F3C19"/>
    <w:rsid w:val="007F78EE"/>
    <w:rsid w:val="008004AD"/>
    <w:rsid w:val="00800A00"/>
    <w:rsid w:val="008018F3"/>
    <w:rsid w:val="008032DF"/>
    <w:rsid w:val="008048CE"/>
    <w:rsid w:val="00804ACD"/>
    <w:rsid w:val="008059D9"/>
    <w:rsid w:val="00805C85"/>
    <w:rsid w:val="00806AB1"/>
    <w:rsid w:val="00810ECF"/>
    <w:rsid w:val="0081160A"/>
    <w:rsid w:val="00811DF3"/>
    <w:rsid w:val="0081632A"/>
    <w:rsid w:val="008164FA"/>
    <w:rsid w:val="0081768E"/>
    <w:rsid w:val="008206DC"/>
    <w:rsid w:val="008209B8"/>
    <w:rsid w:val="00820CE0"/>
    <w:rsid w:val="008211A7"/>
    <w:rsid w:val="00822168"/>
    <w:rsid w:val="00822C24"/>
    <w:rsid w:val="00823C54"/>
    <w:rsid w:val="00824239"/>
    <w:rsid w:val="00825CC1"/>
    <w:rsid w:val="00830014"/>
    <w:rsid w:val="0083132A"/>
    <w:rsid w:val="00835252"/>
    <w:rsid w:val="00836D2B"/>
    <w:rsid w:val="00837B8B"/>
    <w:rsid w:val="0084053F"/>
    <w:rsid w:val="0084591F"/>
    <w:rsid w:val="00845939"/>
    <w:rsid w:val="00846FEB"/>
    <w:rsid w:val="0084724C"/>
    <w:rsid w:val="00853583"/>
    <w:rsid w:val="008536FF"/>
    <w:rsid w:val="0085375C"/>
    <w:rsid w:val="0085379C"/>
    <w:rsid w:val="00856D4A"/>
    <w:rsid w:val="008610D3"/>
    <w:rsid w:val="008616A5"/>
    <w:rsid w:val="00862896"/>
    <w:rsid w:val="00863A22"/>
    <w:rsid w:val="00863EC0"/>
    <w:rsid w:val="00864F87"/>
    <w:rsid w:val="008652C9"/>
    <w:rsid w:val="00866346"/>
    <w:rsid w:val="00866A29"/>
    <w:rsid w:val="00867C1F"/>
    <w:rsid w:val="00867C23"/>
    <w:rsid w:val="00872A3E"/>
    <w:rsid w:val="00874327"/>
    <w:rsid w:val="00874648"/>
    <w:rsid w:val="00882009"/>
    <w:rsid w:val="00884757"/>
    <w:rsid w:val="008853D8"/>
    <w:rsid w:val="008856A6"/>
    <w:rsid w:val="008859C0"/>
    <w:rsid w:val="00886975"/>
    <w:rsid w:val="00887D0E"/>
    <w:rsid w:val="00892B27"/>
    <w:rsid w:val="00892C09"/>
    <w:rsid w:val="008934CD"/>
    <w:rsid w:val="00894CB7"/>
    <w:rsid w:val="00895D95"/>
    <w:rsid w:val="00896F2D"/>
    <w:rsid w:val="008A14CF"/>
    <w:rsid w:val="008A300F"/>
    <w:rsid w:val="008A527C"/>
    <w:rsid w:val="008A5C4C"/>
    <w:rsid w:val="008A62EB"/>
    <w:rsid w:val="008A6ADE"/>
    <w:rsid w:val="008B098F"/>
    <w:rsid w:val="008B1E2E"/>
    <w:rsid w:val="008B244B"/>
    <w:rsid w:val="008B655D"/>
    <w:rsid w:val="008C0A70"/>
    <w:rsid w:val="008C0DA4"/>
    <w:rsid w:val="008C23AF"/>
    <w:rsid w:val="008C2A76"/>
    <w:rsid w:val="008C2ECC"/>
    <w:rsid w:val="008C6D47"/>
    <w:rsid w:val="008C70E2"/>
    <w:rsid w:val="008D4DB1"/>
    <w:rsid w:val="008D4F08"/>
    <w:rsid w:val="008D50F9"/>
    <w:rsid w:val="008E077D"/>
    <w:rsid w:val="008E29F0"/>
    <w:rsid w:val="008E42B5"/>
    <w:rsid w:val="008F12B9"/>
    <w:rsid w:val="008F16EA"/>
    <w:rsid w:val="008F322E"/>
    <w:rsid w:val="008F4A3A"/>
    <w:rsid w:val="008F4D08"/>
    <w:rsid w:val="008F61DF"/>
    <w:rsid w:val="008F7101"/>
    <w:rsid w:val="008F7927"/>
    <w:rsid w:val="008F7E47"/>
    <w:rsid w:val="00900AC7"/>
    <w:rsid w:val="00900DB6"/>
    <w:rsid w:val="009011AB"/>
    <w:rsid w:val="009048D7"/>
    <w:rsid w:val="00904C4F"/>
    <w:rsid w:val="00907A4D"/>
    <w:rsid w:val="00907F4D"/>
    <w:rsid w:val="009126DF"/>
    <w:rsid w:val="00912B05"/>
    <w:rsid w:val="00912C18"/>
    <w:rsid w:val="00920899"/>
    <w:rsid w:val="009228F4"/>
    <w:rsid w:val="009235E7"/>
    <w:rsid w:val="00923847"/>
    <w:rsid w:val="0092420B"/>
    <w:rsid w:val="009245F7"/>
    <w:rsid w:val="009254D1"/>
    <w:rsid w:val="009267F7"/>
    <w:rsid w:val="00927EAB"/>
    <w:rsid w:val="00930196"/>
    <w:rsid w:val="00932DE6"/>
    <w:rsid w:val="00932FAD"/>
    <w:rsid w:val="00933156"/>
    <w:rsid w:val="009373AD"/>
    <w:rsid w:val="00941EB7"/>
    <w:rsid w:val="00942591"/>
    <w:rsid w:val="00942BFD"/>
    <w:rsid w:val="0094352E"/>
    <w:rsid w:val="0094376B"/>
    <w:rsid w:val="00946F3F"/>
    <w:rsid w:val="00947731"/>
    <w:rsid w:val="0094796D"/>
    <w:rsid w:val="00947E0C"/>
    <w:rsid w:val="00952B07"/>
    <w:rsid w:val="009540C7"/>
    <w:rsid w:val="00954734"/>
    <w:rsid w:val="00955CA2"/>
    <w:rsid w:val="009568A1"/>
    <w:rsid w:val="009574F7"/>
    <w:rsid w:val="0096029C"/>
    <w:rsid w:val="0096092B"/>
    <w:rsid w:val="00960D8D"/>
    <w:rsid w:val="00962E52"/>
    <w:rsid w:val="00963DA7"/>
    <w:rsid w:val="00963F6B"/>
    <w:rsid w:val="00965B73"/>
    <w:rsid w:val="0096714F"/>
    <w:rsid w:val="00970E13"/>
    <w:rsid w:val="00971643"/>
    <w:rsid w:val="00972215"/>
    <w:rsid w:val="009736BF"/>
    <w:rsid w:val="009758B0"/>
    <w:rsid w:val="009838A0"/>
    <w:rsid w:val="00986329"/>
    <w:rsid w:val="0098706D"/>
    <w:rsid w:val="00987962"/>
    <w:rsid w:val="009901F2"/>
    <w:rsid w:val="00992A74"/>
    <w:rsid w:val="0099437D"/>
    <w:rsid w:val="00997AEF"/>
    <w:rsid w:val="00997EA6"/>
    <w:rsid w:val="009A3369"/>
    <w:rsid w:val="009A36DE"/>
    <w:rsid w:val="009A4E73"/>
    <w:rsid w:val="009A68D8"/>
    <w:rsid w:val="009A68E8"/>
    <w:rsid w:val="009A779A"/>
    <w:rsid w:val="009A7A12"/>
    <w:rsid w:val="009B39BB"/>
    <w:rsid w:val="009B5201"/>
    <w:rsid w:val="009B6064"/>
    <w:rsid w:val="009C042C"/>
    <w:rsid w:val="009C0ED0"/>
    <w:rsid w:val="009C1D6B"/>
    <w:rsid w:val="009C32C5"/>
    <w:rsid w:val="009C45AA"/>
    <w:rsid w:val="009C6131"/>
    <w:rsid w:val="009C6E5F"/>
    <w:rsid w:val="009D56F5"/>
    <w:rsid w:val="009D5C8A"/>
    <w:rsid w:val="009D6796"/>
    <w:rsid w:val="009E0048"/>
    <w:rsid w:val="009E03E0"/>
    <w:rsid w:val="009E048A"/>
    <w:rsid w:val="009E0C52"/>
    <w:rsid w:val="009E5A1F"/>
    <w:rsid w:val="009E66F2"/>
    <w:rsid w:val="009E7B94"/>
    <w:rsid w:val="009E7BB3"/>
    <w:rsid w:val="009F1716"/>
    <w:rsid w:val="009F3432"/>
    <w:rsid w:val="009F4BC9"/>
    <w:rsid w:val="009F60BC"/>
    <w:rsid w:val="009F699B"/>
    <w:rsid w:val="00A014A7"/>
    <w:rsid w:val="00A024D3"/>
    <w:rsid w:val="00A04B0D"/>
    <w:rsid w:val="00A10AFE"/>
    <w:rsid w:val="00A11629"/>
    <w:rsid w:val="00A128F9"/>
    <w:rsid w:val="00A12C29"/>
    <w:rsid w:val="00A135EE"/>
    <w:rsid w:val="00A13B1A"/>
    <w:rsid w:val="00A13B79"/>
    <w:rsid w:val="00A15182"/>
    <w:rsid w:val="00A151C3"/>
    <w:rsid w:val="00A16B84"/>
    <w:rsid w:val="00A22461"/>
    <w:rsid w:val="00A226AD"/>
    <w:rsid w:val="00A227EE"/>
    <w:rsid w:val="00A258B4"/>
    <w:rsid w:val="00A2632B"/>
    <w:rsid w:val="00A26583"/>
    <w:rsid w:val="00A313C4"/>
    <w:rsid w:val="00A31C1B"/>
    <w:rsid w:val="00A31E47"/>
    <w:rsid w:val="00A3211D"/>
    <w:rsid w:val="00A346F6"/>
    <w:rsid w:val="00A34ABE"/>
    <w:rsid w:val="00A34BA5"/>
    <w:rsid w:val="00A35294"/>
    <w:rsid w:val="00A36407"/>
    <w:rsid w:val="00A36BDB"/>
    <w:rsid w:val="00A41BB6"/>
    <w:rsid w:val="00A41ECE"/>
    <w:rsid w:val="00A42029"/>
    <w:rsid w:val="00A43059"/>
    <w:rsid w:val="00A43535"/>
    <w:rsid w:val="00A44814"/>
    <w:rsid w:val="00A44B96"/>
    <w:rsid w:val="00A508E6"/>
    <w:rsid w:val="00A50C94"/>
    <w:rsid w:val="00A50FB6"/>
    <w:rsid w:val="00A514D4"/>
    <w:rsid w:val="00A51610"/>
    <w:rsid w:val="00A531B1"/>
    <w:rsid w:val="00A537AB"/>
    <w:rsid w:val="00A53B2F"/>
    <w:rsid w:val="00A53C17"/>
    <w:rsid w:val="00A54E70"/>
    <w:rsid w:val="00A55CC1"/>
    <w:rsid w:val="00A5723E"/>
    <w:rsid w:val="00A57A4A"/>
    <w:rsid w:val="00A60AEB"/>
    <w:rsid w:val="00A6190B"/>
    <w:rsid w:val="00A62C80"/>
    <w:rsid w:val="00A63514"/>
    <w:rsid w:val="00A64981"/>
    <w:rsid w:val="00A64F79"/>
    <w:rsid w:val="00A6698C"/>
    <w:rsid w:val="00A66B40"/>
    <w:rsid w:val="00A72CAE"/>
    <w:rsid w:val="00A734CE"/>
    <w:rsid w:val="00A736EE"/>
    <w:rsid w:val="00A74910"/>
    <w:rsid w:val="00A76128"/>
    <w:rsid w:val="00A76161"/>
    <w:rsid w:val="00A80986"/>
    <w:rsid w:val="00A82AAF"/>
    <w:rsid w:val="00A82EA0"/>
    <w:rsid w:val="00A83DAC"/>
    <w:rsid w:val="00A868DC"/>
    <w:rsid w:val="00A86E35"/>
    <w:rsid w:val="00A9073E"/>
    <w:rsid w:val="00A934DA"/>
    <w:rsid w:val="00A94173"/>
    <w:rsid w:val="00A96DBB"/>
    <w:rsid w:val="00AA13B9"/>
    <w:rsid w:val="00AA1CF0"/>
    <w:rsid w:val="00AA4E8C"/>
    <w:rsid w:val="00AA565E"/>
    <w:rsid w:val="00AA7CEF"/>
    <w:rsid w:val="00AB0DA2"/>
    <w:rsid w:val="00AB0FCC"/>
    <w:rsid w:val="00AB1618"/>
    <w:rsid w:val="00AC07C8"/>
    <w:rsid w:val="00AC2EEB"/>
    <w:rsid w:val="00AC3C33"/>
    <w:rsid w:val="00AC46BF"/>
    <w:rsid w:val="00AC722B"/>
    <w:rsid w:val="00AD1307"/>
    <w:rsid w:val="00AD1545"/>
    <w:rsid w:val="00AD16FD"/>
    <w:rsid w:val="00AD1D11"/>
    <w:rsid w:val="00AD28F1"/>
    <w:rsid w:val="00AD2A88"/>
    <w:rsid w:val="00AD521E"/>
    <w:rsid w:val="00AD532F"/>
    <w:rsid w:val="00AD6E39"/>
    <w:rsid w:val="00AE0FB2"/>
    <w:rsid w:val="00AE18F7"/>
    <w:rsid w:val="00AE1E9C"/>
    <w:rsid w:val="00AE202C"/>
    <w:rsid w:val="00AE4200"/>
    <w:rsid w:val="00AE537B"/>
    <w:rsid w:val="00AE599B"/>
    <w:rsid w:val="00AF02F8"/>
    <w:rsid w:val="00AF0A2D"/>
    <w:rsid w:val="00AF1F5D"/>
    <w:rsid w:val="00AF4D0C"/>
    <w:rsid w:val="00AF56EC"/>
    <w:rsid w:val="00AF7017"/>
    <w:rsid w:val="00AF7BE3"/>
    <w:rsid w:val="00AF7E7B"/>
    <w:rsid w:val="00B016E9"/>
    <w:rsid w:val="00B03EC3"/>
    <w:rsid w:val="00B04193"/>
    <w:rsid w:val="00B07464"/>
    <w:rsid w:val="00B11AB6"/>
    <w:rsid w:val="00B11CF9"/>
    <w:rsid w:val="00B12297"/>
    <w:rsid w:val="00B12401"/>
    <w:rsid w:val="00B130C3"/>
    <w:rsid w:val="00B13559"/>
    <w:rsid w:val="00B1383B"/>
    <w:rsid w:val="00B149AC"/>
    <w:rsid w:val="00B17995"/>
    <w:rsid w:val="00B20812"/>
    <w:rsid w:val="00B20A57"/>
    <w:rsid w:val="00B218DF"/>
    <w:rsid w:val="00B22443"/>
    <w:rsid w:val="00B22841"/>
    <w:rsid w:val="00B2373D"/>
    <w:rsid w:val="00B242F0"/>
    <w:rsid w:val="00B27DFD"/>
    <w:rsid w:val="00B3113F"/>
    <w:rsid w:val="00B311A7"/>
    <w:rsid w:val="00B31586"/>
    <w:rsid w:val="00B3382B"/>
    <w:rsid w:val="00B35152"/>
    <w:rsid w:val="00B37F66"/>
    <w:rsid w:val="00B403EE"/>
    <w:rsid w:val="00B4243B"/>
    <w:rsid w:val="00B45D8D"/>
    <w:rsid w:val="00B502BE"/>
    <w:rsid w:val="00B510DA"/>
    <w:rsid w:val="00B52D41"/>
    <w:rsid w:val="00B5305A"/>
    <w:rsid w:val="00B57117"/>
    <w:rsid w:val="00B611C9"/>
    <w:rsid w:val="00B621E5"/>
    <w:rsid w:val="00B62817"/>
    <w:rsid w:val="00B66A48"/>
    <w:rsid w:val="00B66AC7"/>
    <w:rsid w:val="00B67080"/>
    <w:rsid w:val="00B6791F"/>
    <w:rsid w:val="00B679CE"/>
    <w:rsid w:val="00B71DD4"/>
    <w:rsid w:val="00B720CE"/>
    <w:rsid w:val="00B80B06"/>
    <w:rsid w:val="00B86EF7"/>
    <w:rsid w:val="00B87537"/>
    <w:rsid w:val="00B9081B"/>
    <w:rsid w:val="00B90B81"/>
    <w:rsid w:val="00B90FCB"/>
    <w:rsid w:val="00B94A6B"/>
    <w:rsid w:val="00B96096"/>
    <w:rsid w:val="00B96414"/>
    <w:rsid w:val="00BA27B5"/>
    <w:rsid w:val="00BA32A6"/>
    <w:rsid w:val="00BB0542"/>
    <w:rsid w:val="00BB1B12"/>
    <w:rsid w:val="00BB3168"/>
    <w:rsid w:val="00BB5608"/>
    <w:rsid w:val="00BB6A71"/>
    <w:rsid w:val="00BB78FE"/>
    <w:rsid w:val="00BB7E7A"/>
    <w:rsid w:val="00BC217A"/>
    <w:rsid w:val="00BC4763"/>
    <w:rsid w:val="00BC4874"/>
    <w:rsid w:val="00BC5105"/>
    <w:rsid w:val="00BC5668"/>
    <w:rsid w:val="00BC603D"/>
    <w:rsid w:val="00BC6642"/>
    <w:rsid w:val="00BD0EDE"/>
    <w:rsid w:val="00BD23BF"/>
    <w:rsid w:val="00BD262D"/>
    <w:rsid w:val="00BD4827"/>
    <w:rsid w:val="00BD6935"/>
    <w:rsid w:val="00BE1940"/>
    <w:rsid w:val="00BE6B06"/>
    <w:rsid w:val="00BF08BC"/>
    <w:rsid w:val="00BF2E9C"/>
    <w:rsid w:val="00BF3DBD"/>
    <w:rsid w:val="00BF4194"/>
    <w:rsid w:val="00BF7AB1"/>
    <w:rsid w:val="00C01740"/>
    <w:rsid w:val="00C02CFA"/>
    <w:rsid w:val="00C038B1"/>
    <w:rsid w:val="00C03A9A"/>
    <w:rsid w:val="00C05E82"/>
    <w:rsid w:val="00C066BE"/>
    <w:rsid w:val="00C073E7"/>
    <w:rsid w:val="00C079B4"/>
    <w:rsid w:val="00C10EB7"/>
    <w:rsid w:val="00C1159D"/>
    <w:rsid w:val="00C13118"/>
    <w:rsid w:val="00C132B6"/>
    <w:rsid w:val="00C146E9"/>
    <w:rsid w:val="00C156F2"/>
    <w:rsid w:val="00C16245"/>
    <w:rsid w:val="00C17F4B"/>
    <w:rsid w:val="00C220EE"/>
    <w:rsid w:val="00C223FA"/>
    <w:rsid w:val="00C22B2E"/>
    <w:rsid w:val="00C22C7F"/>
    <w:rsid w:val="00C23794"/>
    <w:rsid w:val="00C23C21"/>
    <w:rsid w:val="00C2485A"/>
    <w:rsid w:val="00C25C82"/>
    <w:rsid w:val="00C25F82"/>
    <w:rsid w:val="00C25FAB"/>
    <w:rsid w:val="00C2790E"/>
    <w:rsid w:val="00C27B73"/>
    <w:rsid w:val="00C31FA0"/>
    <w:rsid w:val="00C32824"/>
    <w:rsid w:val="00C34009"/>
    <w:rsid w:val="00C37C23"/>
    <w:rsid w:val="00C40884"/>
    <w:rsid w:val="00C41E5F"/>
    <w:rsid w:val="00C42ACA"/>
    <w:rsid w:val="00C42DE9"/>
    <w:rsid w:val="00C4365A"/>
    <w:rsid w:val="00C473E3"/>
    <w:rsid w:val="00C4778D"/>
    <w:rsid w:val="00C506F8"/>
    <w:rsid w:val="00C52C60"/>
    <w:rsid w:val="00C53595"/>
    <w:rsid w:val="00C5467E"/>
    <w:rsid w:val="00C54A9A"/>
    <w:rsid w:val="00C55F4F"/>
    <w:rsid w:val="00C60062"/>
    <w:rsid w:val="00C61383"/>
    <w:rsid w:val="00C6375F"/>
    <w:rsid w:val="00C647AD"/>
    <w:rsid w:val="00C65BC7"/>
    <w:rsid w:val="00C661A7"/>
    <w:rsid w:val="00C6626F"/>
    <w:rsid w:val="00C70903"/>
    <w:rsid w:val="00C717CC"/>
    <w:rsid w:val="00C7234E"/>
    <w:rsid w:val="00C80277"/>
    <w:rsid w:val="00C81FCD"/>
    <w:rsid w:val="00C82496"/>
    <w:rsid w:val="00C83D3F"/>
    <w:rsid w:val="00C84018"/>
    <w:rsid w:val="00C84D0C"/>
    <w:rsid w:val="00C8655F"/>
    <w:rsid w:val="00C87793"/>
    <w:rsid w:val="00C90639"/>
    <w:rsid w:val="00C9090F"/>
    <w:rsid w:val="00C909C4"/>
    <w:rsid w:val="00C90D0E"/>
    <w:rsid w:val="00CA0DB7"/>
    <w:rsid w:val="00CA107A"/>
    <w:rsid w:val="00CA28F0"/>
    <w:rsid w:val="00CA2AAF"/>
    <w:rsid w:val="00CA3638"/>
    <w:rsid w:val="00CA5005"/>
    <w:rsid w:val="00CA56FD"/>
    <w:rsid w:val="00CA5C0F"/>
    <w:rsid w:val="00CA6D13"/>
    <w:rsid w:val="00CA702D"/>
    <w:rsid w:val="00CB1077"/>
    <w:rsid w:val="00CB1D66"/>
    <w:rsid w:val="00CB200B"/>
    <w:rsid w:val="00CB2BE9"/>
    <w:rsid w:val="00CB4418"/>
    <w:rsid w:val="00CB49BE"/>
    <w:rsid w:val="00CB569F"/>
    <w:rsid w:val="00CB5B5F"/>
    <w:rsid w:val="00CB72F5"/>
    <w:rsid w:val="00CB77FC"/>
    <w:rsid w:val="00CC1BA4"/>
    <w:rsid w:val="00CC1E0C"/>
    <w:rsid w:val="00CC3AA9"/>
    <w:rsid w:val="00CC3B63"/>
    <w:rsid w:val="00CC4200"/>
    <w:rsid w:val="00CC5734"/>
    <w:rsid w:val="00CC6B63"/>
    <w:rsid w:val="00CC6BF8"/>
    <w:rsid w:val="00CC6F23"/>
    <w:rsid w:val="00CD2693"/>
    <w:rsid w:val="00CD2B2B"/>
    <w:rsid w:val="00CD2C31"/>
    <w:rsid w:val="00CD3A63"/>
    <w:rsid w:val="00CD3B66"/>
    <w:rsid w:val="00CD48FB"/>
    <w:rsid w:val="00CD5FE7"/>
    <w:rsid w:val="00CD6057"/>
    <w:rsid w:val="00CE0FFD"/>
    <w:rsid w:val="00CE1961"/>
    <w:rsid w:val="00CE2A44"/>
    <w:rsid w:val="00CE4D76"/>
    <w:rsid w:val="00CF0E34"/>
    <w:rsid w:val="00CF15F5"/>
    <w:rsid w:val="00CF2AB3"/>
    <w:rsid w:val="00CF2B55"/>
    <w:rsid w:val="00CF2C04"/>
    <w:rsid w:val="00CF30FD"/>
    <w:rsid w:val="00CF3B11"/>
    <w:rsid w:val="00CF7C47"/>
    <w:rsid w:val="00D01E04"/>
    <w:rsid w:val="00D07042"/>
    <w:rsid w:val="00D10627"/>
    <w:rsid w:val="00D116C7"/>
    <w:rsid w:val="00D11B88"/>
    <w:rsid w:val="00D12543"/>
    <w:rsid w:val="00D1516F"/>
    <w:rsid w:val="00D1763B"/>
    <w:rsid w:val="00D17675"/>
    <w:rsid w:val="00D22563"/>
    <w:rsid w:val="00D2260E"/>
    <w:rsid w:val="00D32CA8"/>
    <w:rsid w:val="00D34BF8"/>
    <w:rsid w:val="00D34C81"/>
    <w:rsid w:val="00D3684F"/>
    <w:rsid w:val="00D36ADD"/>
    <w:rsid w:val="00D42C55"/>
    <w:rsid w:val="00D42CEC"/>
    <w:rsid w:val="00D44059"/>
    <w:rsid w:val="00D45E15"/>
    <w:rsid w:val="00D4626A"/>
    <w:rsid w:val="00D46E25"/>
    <w:rsid w:val="00D47004"/>
    <w:rsid w:val="00D47179"/>
    <w:rsid w:val="00D51950"/>
    <w:rsid w:val="00D5394E"/>
    <w:rsid w:val="00D5489C"/>
    <w:rsid w:val="00D56024"/>
    <w:rsid w:val="00D61327"/>
    <w:rsid w:val="00D61D22"/>
    <w:rsid w:val="00D63487"/>
    <w:rsid w:val="00D63C70"/>
    <w:rsid w:val="00D66D45"/>
    <w:rsid w:val="00D6751B"/>
    <w:rsid w:val="00D67F90"/>
    <w:rsid w:val="00D70483"/>
    <w:rsid w:val="00D70D5D"/>
    <w:rsid w:val="00D71C59"/>
    <w:rsid w:val="00D72781"/>
    <w:rsid w:val="00D739B9"/>
    <w:rsid w:val="00D769D9"/>
    <w:rsid w:val="00D81A20"/>
    <w:rsid w:val="00D831D3"/>
    <w:rsid w:val="00D93269"/>
    <w:rsid w:val="00D9383B"/>
    <w:rsid w:val="00D96D40"/>
    <w:rsid w:val="00DA0FED"/>
    <w:rsid w:val="00DA1674"/>
    <w:rsid w:val="00DA2D2F"/>
    <w:rsid w:val="00DA3479"/>
    <w:rsid w:val="00DA35B8"/>
    <w:rsid w:val="00DA3C29"/>
    <w:rsid w:val="00DA4644"/>
    <w:rsid w:val="00DA61A4"/>
    <w:rsid w:val="00DA62EB"/>
    <w:rsid w:val="00DA7C04"/>
    <w:rsid w:val="00DA7E10"/>
    <w:rsid w:val="00DA7F9D"/>
    <w:rsid w:val="00DB1207"/>
    <w:rsid w:val="00DB2E10"/>
    <w:rsid w:val="00DB509D"/>
    <w:rsid w:val="00DB6D99"/>
    <w:rsid w:val="00DB70A1"/>
    <w:rsid w:val="00DC1829"/>
    <w:rsid w:val="00DC2491"/>
    <w:rsid w:val="00DC415E"/>
    <w:rsid w:val="00DC715F"/>
    <w:rsid w:val="00DC7779"/>
    <w:rsid w:val="00DD36DA"/>
    <w:rsid w:val="00DD36F6"/>
    <w:rsid w:val="00DD401E"/>
    <w:rsid w:val="00DD4E2B"/>
    <w:rsid w:val="00DD4F1F"/>
    <w:rsid w:val="00DD6E8E"/>
    <w:rsid w:val="00DD6FA2"/>
    <w:rsid w:val="00DD7907"/>
    <w:rsid w:val="00DE01BC"/>
    <w:rsid w:val="00DE12C5"/>
    <w:rsid w:val="00DE15D4"/>
    <w:rsid w:val="00DE1BC9"/>
    <w:rsid w:val="00DE282D"/>
    <w:rsid w:val="00DE3310"/>
    <w:rsid w:val="00DE332F"/>
    <w:rsid w:val="00DE3DD4"/>
    <w:rsid w:val="00DE4431"/>
    <w:rsid w:val="00DE55C5"/>
    <w:rsid w:val="00DE6F24"/>
    <w:rsid w:val="00DE7852"/>
    <w:rsid w:val="00DF0E06"/>
    <w:rsid w:val="00DF1145"/>
    <w:rsid w:val="00DF338A"/>
    <w:rsid w:val="00DF373E"/>
    <w:rsid w:val="00E01E95"/>
    <w:rsid w:val="00E046E0"/>
    <w:rsid w:val="00E060CA"/>
    <w:rsid w:val="00E10938"/>
    <w:rsid w:val="00E11F31"/>
    <w:rsid w:val="00E12773"/>
    <w:rsid w:val="00E153EF"/>
    <w:rsid w:val="00E15E03"/>
    <w:rsid w:val="00E16282"/>
    <w:rsid w:val="00E16D87"/>
    <w:rsid w:val="00E20074"/>
    <w:rsid w:val="00E205DC"/>
    <w:rsid w:val="00E211DD"/>
    <w:rsid w:val="00E22862"/>
    <w:rsid w:val="00E22CC1"/>
    <w:rsid w:val="00E240EE"/>
    <w:rsid w:val="00E242B3"/>
    <w:rsid w:val="00E2568D"/>
    <w:rsid w:val="00E26466"/>
    <w:rsid w:val="00E3010C"/>
    <w:rsid w:val="00E31527"/>
    <w:rsid w:val="00E3288A"/>
    <w:rsid w:val="00E332BD"/>
    <w:rsid w:val="00E3343A"/>
    <w:rsid w:val="00E34BD0"/>
    <w:rsid w:val="00E34EC0"/>
    <w:rsid w:val="00E35348"/>
    <w:rsid w:val="00E4398B"/>
    <w:rsid w:val="00E441D6"/>
    <w:rsid w:val="00E45426"/>
    <w:rsid w:val="00E461F3"/>
    <w:rsid w:val="00E47D48"/>
    <w:rsid w:val="00E50EFD"/>
    <w:rsid w:val="00E56932"/>
    <w:rsid w:val="00E635BA"/>
    <w:rsid w:val="00E66D1C"/>
    <w:rsid w:val="00E6798E"/>
    <w:rsid w:val="00E70484"/>
    <w:rsid w:val="00E71143"/>
    <w:rsid w:val="00E718F3"/>
    <w:rsid w:val="00E71CE0"/>
    <w:rsid w:val="00E71CFE"/>
    <w:rsid w:val="00E7211A"/>
    <w:rsid w:val="00E72542"/>
    <w:rsid w:val="00E72E41"/>
    <w:rsid w:val="00E800B7"/>
    <w:rsid w:val="00E80963"/>
    <w:rsid w:val="00E81181"/>
    <w:rsid w:val="00E81A6C"/>
    <w:rsid w:val="00E82864"/>
    <w:rsid w:val="00E838F4"/>
    <w:rsid w:val="00E8478E"/>
    <w:rsid w:val="00E84CDA"/>
    <w:rsid w:val="00E86EF1"/>
    <w:rsid w:val="00E92463"/>
    <w:rsid w:val="00E9372B"/>
    <w:rsid w:val="00E9378C"/>
    <w:rsid w:val="00E9410D"/>
    <w:rsid w:val="00E95FC9"/>
    <w:rsid w:val="00E96A50"/>
    <w:rsid w:val="00EA0883"/>
    <w:rsid w:val="00EA10E9"/>
    <w:rsid w:val="00EA119C"/>
    <w:rsid w:val="00EA38FE"/>
    <w:rsid w:val="00EA3D96"/>
    <w:rsid w:val="00EA7BC5"/>
    <w:rsid w:val="00EB0DAC"/>
    <w:rsid w:val="00EB1D21"/>
    <w:rsid w:val="00EB3942"/>
    <w:rsid w:val="00EB4628"/>
    <w:rsid w:val="00EB49DF"/>
    <w:rsid w:val="00EB667B"/>
    <w:rsid w:val="00EC0144"/>
    <w:rsid w:val="00EC06E8"/>
    <w:rsid w:val="00EC2066"/>
    <w:rsid w:val="00EC4D62"/>
    <w:rsid w:val="00EC65FC"/>
    <w:rsid w:val="00ED0708"/>
    <w:rsid w:val="00ED09CA"/>
    <w:rsid w:val="00ED0D7C"/>
    <w:rsid w:val="00ED13A0"/>
    <w:rsid w:val="00ED1DB9"/>
    <w:rsid w:val="00ED2852"/>
    <w:rsid w:val="00ED42C1"/>
    <w:rsid w:val="00ED4369"/>
    <w:rsid w:val="00ED4A10"/>
    <w:rsid w:val="00ED4E77"/>
    <w:rsid w:val="00ED62D2"/>
    <w:rsid w:val="00ED66B1"/>
    <w:rsid w:val="00EE1F63"/>
    <w:rsid w:val="00EE1F70"/>
    <w:rsid w:val="00EE25D2"/>
    <w:rsid w:val="00EE3DE3"/>
    <w:rsid w:val="00EE4E4F"/>
    <w:rsid w:val="00EE6056"/>
    <w:rsid w:val="00EF0D12"/>
    <w:rsid w:val="00EF24F2"/>
    <w:rsid w:val="00EF3893"/>
    <w:rsid w:val="00EF4D69"/>
    <w:rsid w:val="00EF505C"/>
    <w:rsid w:val="00EF61BE"/>
    <w:rsid w:val="00EF6530"/>
    <w:rsid w:val="00F0080A"/>
    <w:rsid w:val="00F01711"/>
    <w:rsid w:val="00F042F0"/>
    <w:rsid w:val="00F05C34"/>
    <w:rsid w:val="00F112A4"/>
    <w:rsid w:val="00F123B6"/>
    <w:rsid w:val="00F13B98"/>
    <w:rsid w:val="00F142A4"/>
    <w:rsid w:val="00F14FBD"/>
    <w:rsid w:val="00F15DFA"/>
    <w:rsid w:val="00F1600A"/>
    <w:rsid w:val="00F21A56"/>
    <w:rsid w:val="00F2454B"/>
    <w:rsid w:val="00F258CB"/>
    <w:rsid w:val="00F263BF"/>
    <w:rsid w:val="00F27800"/>
    <w:rsid w:val="00F3080E"/>
    <w:rsid w:val="00F31071"/>
    <w:rsid w:val="00F3112A"/>
    <w:rsid w:val="00F3118E"/>
    <w:rsid w:val="00F31851"/>
    <w:rsid w:val="00F34AB1"/>
    <w:rsid w:val="00F3724D"/>
    <w:rsid w:val="00F3784A"/>
    <w:rsid w:val="00F43006"/>
    <w:rsid w:val="00F43DCB"/>
    <w:rsid w:val="00F443F3"/>
    <w:rsid w:val="00F4476C"/>
    <w:rsid w:val="00F506F8"/>
    <w:rsid w:val="00F526B5"/>
    <w:rsid w:val="00F528F7"/>
    <w:rsid w:val="00F52EA4"/>
    <w:rsid w:val="00F537EE"/>
    <w:rsid w:val="00F53B5D"/>
    <w:rsid w:val="00F53CA0"/>
    <w:rsid w:val="00F559CE"/>
    <w:rsid w:val="00F55A98"/>
    <w:rsid w:val="00F56CF8"/>
    <w:rsid w:val="00F6118A"/>
    <w:rsid w:val="00F6121A"/>
    <w:rsid w:val="00F61675"/>
    <w:rsid w:val="00F61FE1"/>
    <w:rsid w:val="00F62C1B"/>
    <w:rsid w:val="00F63382"/>
    <w:rsid w:val="00F63DC7"/>
    <w:rsid w:val="00F64402"/>
    <w:rsid w:val="00F6484B"/>
    <w:rsid w:val="00F64DD1"/>
    <w:rsid w:val="00F65C6B"/>
    <w:rsid w:val="00F66689"/>
    <w:rsid w:val="00F705B0"/>
    <w:rsid w:val="00F70A9B"/>
    <w:rsid w:val="00F72A78"/>
    <w:rsid w:val="00F72F43"/>
    <w:rsid w:val="00F74286"/>
    <w:rsid w:val="00F74CEB"/>
    <w:rsid w:val="00F7562A"/>
    <w:rsid w:val="00F75B83"/>
    <w:rsid w:val="00F83DBA"/>
    <w:rsid w:val="00F841A0"/>
    <w:rsid w:val="00F845D2"/>
    <w:rsid w:val="00F84695"/>
    <w:rsid w:val="00F84AE2"/>
    <w:rsid w:val="00F85DFD"/>
    <w:rsid w:val="00F90C45"/>
    <w:rsid w:val="00F91042"/>
    <w:rsid w:val="00F925FB"/>
    <w:rsid w:val="00F93172"/>
    <w:rsid w:val="00F94184"/>
    <w:rsid w:val="00F9476A"/>
    <w:rsid w:val="00F975EE"/>
    <w:rsid w:val="00F97EDE"/>
    <w:rsid w:val="00FA0B66"/>
    <w:rsid w:val="00FA118B"/>
    <w:rsid w:val="00FA125F"/>
    <w:rsid w:val="00FA1595"/>
    <w:rsid w:val="00FA2712"/>
    <w:rsid w:val="00FA2A6A"/>
    <w:rsid w:val="00FA2B63"/>
    <w:rsid w:val="00FA3B38"/>
    <w:rsid w:val="00FA3C65"/>
    <w:rsid w:val="00FA430C"/>
    <w:rsid w:val="00FA4649"/>
    <w:rsid w:val="00FA47D3"/>
    <w:rsid w:val="00FA4D51"/>
    <w:rsid w:val="00FA5334"/>
    <w:rsid w:val="00FA56EE"/>
    <w:rsid w:val="00FA6357"/>
    <w:rsid w:val="00FA717F"/>
    <w:rsid w:val="00FB14DE"/>
    <w:rsid w:val="00FB2122"/>
    <w:rsid w:val="00FB2D83"/>
    <w:rsid w:val="00FB3EE4"/>
    <w:rsid w:val="00FB5107"/>
    <w:rsid w:val="00FB6683"/>
    <w:rsid w:val="00FB7E0C"/>
    <w:rsid w:val="00FC0F9A"/>
    <w:rsid w:val="00FC1B43"/>
    <w:rsid w:val="00FC44CA"/>
    <w:rsid w:val="00FC5348"/>
    <w:rsid w:val="00FC599F"/>
    <w:rsid w:val="00FC6FDC"/>
    <w:rsid w:val="00FD0EA5"/>
    <w:rsid w:val="00FD14A4"/>
    <w:rsid w:val="00FD303D"/>
    <w:rsid w:val="00FD3A5B"/>
    <w:rsid w:val="00FD3C0F"/>
    <w:rsid w:val="00FD738E"/>
    <w:rsid w:val="00FE0C70"/>
    <w:rsid w:val="00FE1647"/>
    <w:rsid w:val="00FE1D17"/>
    <w:rsid w:val="00FE678F"/>
    <w:rsid w:val="00FE6CC0"/>
    <w:rsid w:val="00FE7F61"/>
    <w:rsid w:val="00FF0ACE"/>
    <w:rsid w:val="00FF16B9"/>
    <w:rsid w:val="00FF1E26"/>
    <w:rsid w:val="00FF2C9C"/>
    <w:rsid w:val="00FF4B4E"/>
    <w:rsid w:val="00FF638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0AB667A"/>
  <w15:docId w15:val="{13854CDE-1DF2-DD48-9436-6C7DCF8E8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lsdException w:name="List Number" w:semiHidden="1" w:unhideWhenUsed="1"/>
    <w:lsdException w:name="List 2" w:semiHidden="1" w:unhideWhenUsed="1"/>
    <w:lsdException w:name="List 3" w:unhideWhenUsed="1"/>
    <w:lsdException w:name="List 4"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unhideWhenUsed="1"/>
    <w:lsdException w:name="Salutation"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C90D0E"/>
    <w:rPr>
      <w:sz w:val="24"/>
      <w:szCs w:val="24"/>
      <w:lang w:val="fr-FR" w:eastAsia="fr-FR"/>
    </w:rPr>
  </w:style>
  <w:style w:type="paragraph" w:styleId="Heading1">
    <w:name w:val="heading 1"/>
    <w:basedOn w:val="Normal"/>
    <w:next w:val="Normal"/>
    <w:link w:val="Heading1Char"/>
    <w:rsid w:val="001F14FD"/>
    <w:pPr>
      <w:keepNext/>
      <w:numPr>
        <w:numId w:val="1"/>
      </w:numPr>
      <w:outlineLvl w:val="0"/>
    </w:pPr>
    <w:rPr>
      <w:b/>
      <w:u w:val="single"/>
      <w:lang w:val="en-GB"/>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BD262D"/>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lang w:val="en-GB"/>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uiPriority w:val="22"/>
    <w:qFormat/>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
    <w:basedOn w:val="Normal"/>
    <w:uiPriority w:val="34"/>
    <w:qFormat/>
    <w:rsid w:val="000B0F0A"/>
    <w:pPr>
      <w:ind w:left="720"/>
      <w:contextualSpacing/>
      <w:jc w:val="both"/>
    </w:pPr>
    <w:rPr>
      <w:sz w:val="22"/>
      <w:szCs w:val="20"/>
      <w:lang w:val="en-GB"/>
    </w:rPr>
  </w:style>
  <w:style w:type="paragraph" w:styleId="FootnoteText">
    <w:name w:val="footnote text"/>
    <w:aliases w:val="M Footnotes"/>
    <w:basedOn w:val="Normal"/>
    <w:link w:val="FootnoteTextChar"/>
    <w:uiPriority w:val="99"/>
    <w:qFormat/>
    <w:rsid w:val="003520D5"/>
    <w:pPr>
      <w:jc w:val="both"/>
    </w:pPr>
    <w:rPr>
      <w:sz w:val="18"/>
      <w:szCs w:val="22"/>
      <w:lang w:val="en-GB"/>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sz w:val="24"/>
      <w:szCs w:val="24"/>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rsid w:val="001B161E"/>
    <w:rPr>
      <w:b/>
      <w:sz w:val="24"/>
      <w:szCs w:val="24"/>
      <w:u w:val="single"/>
      <w:lang w:eastAsia="fr-FR"/>
    </w:rPr>
  </w:style>
  <w:style w:type="character" w:customStyle="1" w:styleId="MH1Char">
    <w:name w:val="M H 1 Char"/>
    <w:link w:val="MH1"/>
    <w:rsid w:val="003520D5"/>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tabs>
        <w:tab w:val="clear" w:pos="2987"/>
        <w:tab w:val="num" w:pos="576"/>
      </w:tabs>
      <w:spacing w:before="0" w:after="240"/>
      <w:ind w:left="578" w:hanging="578"/>
      <w:jc w:val="both"/>
    </w:pPr>
    <w:rPr>
      <w:rFonts w:ascii="Century Gothic" w:hAnsi="Century Gothic"/>
      <w:i w:val="0"/>
      <w:caps/>
      <w:sz w:val="22"/>
      <w:lang w:val="en-GB"/>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lang w:val="en-GB"/>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lang w:val="en-GB"/>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Tahoma" w:hAnsi="Tahom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8"/>
      </w:numPr>
    </w:pPr>
  </w:style>
  <w:style w:type="character" w:styleId="FollowedHyperlink">
    <w:name w:val="FollowedHyperlink"/>
    <w:basedOn w:val="DefaultParagraphFont"/>
    <w:semiHidden/>
    <w:unhideWhenUsed/>
    <w:rsid w:val="00660D1F"/>
    <w:rPr>
      <w:color w:val="800080" w:themeColor="followedHyperlink"/>
      <w:u w:val="single"/>
    </w:rPr>
  </w:style>
  <w:style w:type="paragraph" w:styleId="Revision">
    <w:name w:val="Revision"/>
    <w:hidden/>
    <w:uiPriority w:val="99"/>
    <w:semiHidden/>
    <w:rsid w:val="006479AC"/>
    <w:rPr>
      <w:sz w:val="24"/>
      <w:szCs w:val="24"/>
      <w:lang w:val="fr-FR" w:eastAsia="fr-FR"/>
    </w:rPr>
  </w:style>
  <w:style w:type="character" w:customStyle="1" w:styleId="UnresolvedMention1">
    <w:name w:val="Unresolved Mention1"/>
    <w:basedOn w:val="DefaultParagraphFont"/>
    <w:uiPriority w:val="99"/>
    <w:semiHidden/>
    <w:unhideWhenUsed/>
    <w:rsid w:val="00EC06E8"/>
    <w:rPr>
      <w:color w:val="808080"/>
      <w:shd w:val="clear" w:color="auto" w:fill="E6E6E6"/>
    </w:rPr>
  </w:style>
  <w:style w:type="character" w:customStyle="1" w:styleId="UnresolvedMention2">
    <w:name w:val="Unresolved Mention2"/>
    <w:basedOn w:val="DefaultParagraphFont"/>
    <w:uiPriority w:val="99"/>
    <w:semiHidden/>
    <w:unhideWhenUsed/>
    <w:rsid w:val="00E56932"/>
    <w:rPr>
      <w:color w:val="808080"/>
      <w:shd w:val="clear" w:color="auto" w:fill="E6E6E6"/>
    </w:rPr>
  </w:style>
  <w:style w:type="paragraph" w:styleId="EndnoteText">
    <w:name w:val="endnote text"/>
    <w:basedOn w:val="Normal"/>
    <w:link w:val="EndnoteTextChar"/>
    <w:semiHidden/>
    <w:unhideWhenUsed/>
    <w:rsid w:val="006D7D65"/>
    <w:rPr>
      <w:sz w:val="20"/>
      <w:szCs w:val="20"/>
    </w:rPr>
  </w:style>
  <w:style w:type="character" w:customStyle="1" w:styleId="EndnoteTextChar">
    <w:name w:val="Endnote Text Char"/>
    <w:basedOn w:val="DefaultParagraphFont"/>
    <w:link w:val="EndnoteText"/>
    <w:semiHidden/>
    <w:rsid w:val="006D7D65"/>
    <w:rPr>
      <w:lang w:val="fr-FR" w:eastAsia="fr-FR"/>
    </w:rPr>
  </w:style>
  <w:style w:type="character" w:styleId="EndnoteReference">
    <w:name w:val="endnote reference"/>
    <w:basedOn w:val="DefaultParagraphFont"/>
    <w:semiHidden/>
    <w:unhideWhenUsed/>
    <w:rsid w:val="006D7D65"/>
    <w:rPr>
      <w:vertAlign w:val="superscript"/>
    </w:rPr>
  </w:style>
  <w:style w:type="character" w:customStyle="1" w:styleId="UnresolvedMention3">
    <w:name w:val="Unresolved Mention3"/>
    <w:basedOn w:val="DefaultParagraphFont"/>
    <w:uiPriority w:val="99"/>
    <w:semiHidden/>
    <w:unhideWhenUsed/>
    <w:rsid w:val="002F1880"/>
    <w:rPr>
      <w:color w:val="808080"/>
      <w:shd w:val="clear" w:color="auto" w:fill="E6E6E6"/>
    </w:rPr>
  </w:style>
  <w:style w:type="character" w:customStyle="1" w:styleId="UnresolvedMention4">
    <w:name w:val="Unresolved Mention4"/>
    <w:basedOn w:val="DefaultParagraphFont"/>
    <w:uiPriority w:val="99"/>
    <w:semiHidden/>
    <w:unhideWhenUsed/>
    <w:rsid w:val="00443D35"/>
    <w:rPr>
      <w:color w:val="808080"/>
      <w:shd w:val="clear" w:color="auto" w:fill="E6E6E6"/>
    </w:rPr>
  </w:style>
  <w:style w:type="paragraph" w:customStyle="1" w:styleId="xmsonormal">
    <w:name w:val="x_msonormal"/>
    <w:basedOn w:val="Normal"/>
    <w:rsid w:val="00B4243B"/>
    <w:rPr>
      <w:rFonts w:eastAsiaTheme="minorHAnsi"/>
      <w:lang w:val="en-GB" w:eastAsia="en-GB"/>
    </w:rPr>
  </w:style>
  <w:style w:type="character" w:customStyle="1" w:styleId="highlight">
    <w:name w:val="highlight"/>
    <w:basedOn w:val="DefaultParagraphFont"/>
    <w:rsid w:val="00662CF7"/>
  </w:style>
  <w:style w:type="character" w:customStyle="1" w:styleId="UnresolvedMention5">
    <w:name w:val="Unresolved Mention5"/>
    <w:basedOn w:val="DefaultParagraphFont"/>
    <w:uiPriority w:val="99"/>
    <w:semiHidden/>
    <w:unhideWhenUsed/>
    <w:rsid w:val="000B1A9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53687">
      <w:bodyDiv w:val="1"/>
      <w:marLeft w:val="0"/>
      <w:marRight w:val="0"/>
      <w:marTop w:val="0"/>
      <w:marBottom w:val="0"/>
      <w:divBdr>
        <w:top w:val="none" w:sz="0" w:space="0" w:color="auto"/>
        <w:left w:val="none" w:sz="0" w:space="0" w:color="auto"/>
        <w:bottom w:val="none" w:sz="0" w:space="0" w:color="auto"/>
        <w:right w:val="none" w:sz="0" w:space="0" w:color="auto"/>
      </w:divBdr>
    </w:div>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497033">
      <w:bodyDiv w:val="1"/>
      <w:marLeft w:val="0"/>
      <w:marRight w:val="0"/>
      <w:marTop w:val="0"/>
      <w:marBottom w:val="0"/>
      <w:divBdr>
        <w:top w:val="none" w:sz="0" w:space="0" w:color="auto"/>
        <w:left w:val="none" w:sz="0" w:space="0" w:color="auto"/>
        <w:bottom w:val="none" w:sz="0" w:space="0" w:color="auto"/>
        <w:right w:val="none" w:sz="0" w:space="0" w:color="auto"/>
      </w:divBdr>
      <w:divsChild>
        <w:div w:id="1019891478">
          <w:marLeft w:val="0"/>
          <w:marRight w:val="0"/>
          <w:marTop w:val="0"/>
          <w:marBottom w:val="0"/>
          <w:divBdr>
            <w:top w:val="none" w:sz="0" w:space="0" w:color="auto"/>
            <w:left w:val="none" w:sz="0" w:space="0" w:color="auto"/>
            <w:bottom w:val="none" w:sz="0" w:space="0" w:color="auto"/>
            <w:right w:val="none" w:sz="0" w:space="0" w:color="auto"/>
          </w:divBdr>
        </w:div>
        <w:div w:id="667096220">
          <w:marLeft w:val="0"/>
          <w:marRight w:val="0"/>
          <w:marTop w:val="0"/>
          <w:marBottom w:val="0"/>
          <w:divBdr>
            <w:top w:val="none" w:sz="0" w:space="0" w:color="auto"/>
            <w:left w:val="none" w:sz="0" w:space="0" w:color="auto"/>
            <w:bottom w:val="none" w:sz="0" w:space="0" w:color="auto"/>
            <w:right w:val="none" w:sz="0" w:space="0" w:color="auto"/>
          </w:divBdr>
        </w:div>
        <w:div w:id="1030568093">
          <w:marLeft w:val="0"/>
          <w:marRight w:val="0"/>
          <w:marTop w:val="0"/>
          <w:marBottom w:val="0"/>
          <w:divBdr>
            <w:top w:val="none" w:sz="0" w:space="0" w:color="auto"/>
            <w:left w:val="none" w:sz="0" w:space="0" w:color="auto"/>
            <w:bottom w:val="none" w:sz="0" w:space="0" w:color="auto"/>
            <w:right w:val="none" w:sz="0" w:space="0" w:color="auto"/>
          </w:divBdr>
        </w:div>
        <w:div w:id="1954897462">
          <w:marLeft w:val="0"/>
          <w:marRight w:val="0"/>
          <w:marTop w:val="0"/>
          <w:marBottom w:val="0"/>
          <w:divBdr>
            <w:top w:val="none" w:sz="0" w:space="0" w:color="auto"/>
            <w:left w:val="none" w:sz="0" w:space="0" w:color="auto"/>
            <w:bottom w:val="none" w:sz="0" w:space="0" w:color="auto"/>
            <w:right w:val="none" w:sz="0" w:space="0" w:color="auto"/>
          </w:divBdr>
        </w:div>
        <w:div w:id="1782721353">
          <w:marLeft w:val="0"/>
          <w:marRight w:val="0"/>
          <w:marTop w:val="0"/>
          <w:marBottom w:val="0"/>
          <w:divBdr>
            <w:top w:val="none" w:sz="0" w:space="0" w:color="auto"/>
            <w:left w:val="none" w:sz="0" w:space="0" w:color="auto"/>
            <w:bottom w:val="none" w:sz="0" w:space="0" w:color="auto"/>
            <w:right w:val="none" w:sz="0" w:space="0" w:color="auto"/>
          </w:divBdr>
        </w:div>
        <w:div w:id="427628818">
          <w:marLeft w:val="0"/>
          <w:marRight w:val="0"/>
          <w:marTop w:val="0"/>
          <w:marBottom w:val="0"/>
          <w:divBdr>
            <w:top w:val="none" w:sz="0" w:space="0" w:color="auto"/>
            <w:left w:val="none" w:sz="0" w:space="0" w:color="auto"/>
            <w:bottom w:val="none" w:sz="0" w:space="0" w:color="auto"/>
            <w:right w:val="none" w:sz="0" w:space="0" w:color="auto"/>
          </w:divBdr>
        </w:div>
        <w:div w:id="1710910875">
          <w:marLeft w:val="0"/>
          <w:marRight w:val="0"/>
          <w:marTop w:val="0"/>
          <w:marBottom w:val="0"/>
          <w:divBdr>
            <w:top w:val="none" w:sz="0" w:space="0" w:color="auto"/>
            <w:left w:val="none" w:sz="0" w:space="0" w:color="auto"/>
            <w:bottom w:val="none" w:sz="0" w:space="0" w:color="auto"/>
            <w:right w:val="none" w:sz="0" w:space="0" w:color="auto"/>
          </w:divBdr>
        </w:div>
        <w:div w:id="188111356">
          <w:marLeft w:val="0"/>
          <w:marRight w:val="0"/>
          <w:marTop w:val="0"/>
          <w:marBottom w:val="0"/>
          <w:divBdr>
            <w:top w:val="none" w:sz="0" w:space="0" w:color="auto"/>
            <w:left w:val="none" w:sz="0" w:space="0" w:color="auto"/>
            <w:bottom w:val="none" w:sz="0" w:space="0" w:color="auto"/>
            <w:right w:val="none" w:sz="0" w:space="0" w:color="auto"/>
          </w:divBdr>
        </w:div>
        <w:div w:id="767771897">
          <w:marLeft w:val="0"/>
          <w:marRight w:val="0"/>
          <w:marTop w:val="0"/>
          <w:marBottom w:val="0"/>
          <w:divBdr>
            <w:top w:val="none" w:sz="0" w:space="0" w:color="auto"/>
            <w:left w:val="none" w:sz="0" w:space="0" w:color="auto"/>
            <w:bottom w:val="none" w:sz="0" w:space="0" w:color="auto"/>
            <w:right w:val="none" w:sz="0" w:space="0" w:color="auto"/>
          </w:divBdr>
        </w:div>
        <w:div w:id="233509098">
          <w:marLeft w:val="0"/>
          <w:marRight w:val="0"/>
          <w:marTop w:val="0"/>
          <w:marBottom w:val="0"/>
          <w:divBdr>
            <w:top w:val="none" w:sz="0" w:space="0" w:color="auto"/>
            <w:left w:val="none" w:sz="0" w:space="0" w:color="auto"/>
            <w:bottom w:val="none" w:sz="0" w:space="0" w:color="auto"/>
            <w:right w:val="none" w:sz="0" w:space="0" w:color="auto"/>
          </w:divBdr>
        </w:div>
        <w:div w:id="1854538042">
          <w:marLeft w:val="0"/>
          <w:marRight w:val="0"/>
          <w:marTop w:val="0"/>
          <w:marBottom w:val="0"/>
          <w:divBdr>
            <w:top w:val="none" w:sz="0" w:space="0" w:color="auto"/>
            <w:left w:val="none" w:sz="0" w:space="0" w:color="auto"/>
            <w:bottom w:val="none" w:sz="0" w:space="0" w:color="auto"/>
            <w:right w:val="none" w:sz="0" w:space="0" w:color="auto"/>
          </w:divBdr>
        </w:div>
        <w:div w:id="166289988">
          <w:marLeft w:val="0"/>
          <w:marRight w:val="0"/>
          <w:marTop w:val="0"/>
          <w:marBottom w:val="0"/>
          <w:divBdr>
            <w:top w:val="none" w:sz="0" w:space="0" w:color="auto"/>
            <w:left w:val="none" w:sz="0" w:space="0" w:color="auto"/>
            <w:bottom w:val="none" w:sz="0" w:space="0" w:color="auto"/>
            <w:right w:val="none" w:sz="0" w:space="0" w:color="auto"/>
          </w:divBdr>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246967">
      <w:bodyDiv w:val="1"/>
      <w:marLeft w:val="0"/>
      <w:marRight w:val="0"/>
      <w:marTop w:val="0"/>
      <w:marBottom w:val="0"/>
      <w:divBdr>
        <w:top w:val="none" w:sz="0" w:space="0" w:color="auto"/>
        <w:left w:val="none" w:sz="0" w:space="0" w:color="auto"/>
        <w:bottom w:val="none" w:sz="0" w:space="0" w:color="auto"/>
        <w:right w:val="none" w:sz="0" w:space="0" w:color="auto"/>
      </w:divBdr>
    </w:div>
    <w:div w:id="105925442">
      <w:bodyDiv w:val="1"/>
      <w:marLeft w:val="0"/>
      <w:marRight w:val="0"/>
      <w:marTop w:val="0"/>
      <w:marBottom w:val="0"/>
      <w:divBdr>
        <w:top w:val="none" w:sz="0" w:space="0" w:color="auto"/>
        <w:left w:val="none" w:sz="0" w:space="0" w:color="auto"/>
        <w:bottom w:val="none" w:sz="0" w:space="0" w:color="auto"/>
        <w:right w:val="none" w:sz="0" w:space="0" w:color="auto"/>
      </w:divBdr>
      <w:divsChild>
        <w:div w:id="498272326">
          <w:marLeft w:val="0"/>
          <w:marRight w:val="0"/>
          <w:marTop w:val="15"/>
          <w:marBottom w:val="0"/>
          <w:divBdr>
            <w:top w:val="none" w:sz="0" w:space="0" w:color="auto"/>
            <w:left w:val="none" w:sz="0" w:space="0" w:color="auto"/>
            <w:bottom w:val="none" w:sz="0" w:space="0" w:color="auto"/>
            <w:right w:val="none" w:sz="0" w:space="0" w:color="auto"/>
          </w:divBdr>
          <w:divsChild>
            <w:div w:id="991101512">
              <w:marLeft w:val="0"/>
              <w:marRight w:val="0"/>
              <w:marTop w:val="0"/>
              <w:marBottom w:val="0"/>
              <w:divBdr>
                <w:top w:val="none" w:sz="0" w:space="0" w:color="auto"/>
                <w:left w:val="none" w:sz="0" w:space="0" w:color="auto"/>
                <w:bottom w:val="none" w:sz="0" w:space="0" w:color="auto"/>
                <w:right w:val="none" w:sz="0" w:space="0" w:color="auto"/>
              </w:divBdr>
              <w:divsChild>
                <w:div w:id="1102916685">
                  <w:marLeft w:val="0"/>
                  <w:marRight w:val="0"/>
                  <w:marTop w:val="0"/>
                  <w:marBottom w:val="0"/>
                  <w:divBdr>
                    <w:top w:val="none" w:sz="0" w:space="0" w:color="auto"/>
                    <w:left w:val="none" w:sz="0" w:space="0" w:color="auto"/>
                    <w:bottom w:val="none" w:sz="0" w:space="0" w:color="auto"/>
                    <w:right w:val="none" w:sz="0" w:space="0" w:color="auto"/>
                  </w:divBdr>
                </w:div>
                <w:div w:id="652216684">
                  <w:marLeft w:val="0"/>
                  <w:marRight w:val="0"/>
                  <w:marTop w:val="0"/>
                  <w:marBottom w:val="0"/>
                  <w:divBdr>
                    <w:top w:val="none" w:sz="0" w:space="0" w:color="auto"/>
                    <w:left w:val="none" w:sz="0" w:space="0" w:color="auto"/>
                    <w:bottom w:val="none" w:sz="0" w:space="0" w:color="auto"/>
                    <w:right w:val="none" w:sz="0" w:space="0" w:color="auto"/>
                  </w:divBdr>
                </w:div>
                <w:div w:id="2015954252">
                  <w:marLeft w:val="0"/>
                  <w:marRight w:val="0"/>
                  <w:marTop w:val="0"/>
                  <w:marBottom w:val="0"/>
                  <w:divBdr>
                    <w:top w:val="none" w:sz="0" w:space="0" w:color="auto"/>
                    <w:left w:val="none" w:sz="0" w:space="0" w:color="auto"/>
                    <w:bottom w:val="none" w:sz="0" w:space="0" w:color="auto"/>
                    <w:right w:val="none" w:sz="0" w:space="0" w:color="auto"/>
                  </w:divBdr>
                </w:div>
                <w:div w:id="831138509">
                  <w:marLeft w:val="0"/>
                  <w:marRight w:val="0"/>
                  <w:marTop w:val="0"/>
                  <w:marBottom w:val="0"/>
                  <w:divBdr>
                    <w:top w:val="none" w:sz="0" w:space="0" w:color="auto"/>
                    <w:left w:val="none" w:sz="0" w:space="0" w:color="auto"/>
                    <w:bottom w:val="none" w:sz="0" w:space="0" w:color="auto"/>
                    <w:right w:val="none" w:sz="0" w:space="0" w:color="auto"/>
                  </w:divBdr>
                </w:div>
                <w:div w:id="2080706655">
                  <w:marLeft w:val="0"/>
                  <w:marRight w:val="0"/>
                  <w:marTop w:val="0"/>
                  <w:marBottom w:val="0"/>
                  <w:divBdr>
                    <w:top w:val="none" w:sz="0" w:space="0" w:color="auto"/>
                    <w:left w:val="none" w:sz="0" w:space="0" w:color="auto"/>
                    <w:bottom w:val="none" w:sz="0" w:space="0" w:color="auto"/>
                    <w:right w:val="none" w:sz="0" w:space="0" w:color="auto"/>
                  </w:divBdr>
                </w:div>
                <w:div w:id="675960548">
                  <w:marLeft w:val="0"/>
                  <w:marRight w:val="0"/>
                  <w:marTop w:val="0"/>
                  <w:marBottom w:val="0"/>
                  <w:divBdr>
                    <w:top w:val="none" w:sz="0" w:space="0" w:color="auto"/>
                    <w:left w:val="none" w:sz="0" w:space="0" w:color="auto"/>
                    <w:bottom w:val="none" w:sz="0" w:space="0" w:color="auto"/>
                    <w:right w:val="none" w:sz="0" w:space="0" w:color="auto"/>
                  </w:divBdr>
                </w:div>
                <w:div w:id="241960223">
                  <w:marLeft w:val="0"/>
                  <w:marRight w:val="0"/>
                  <w:marTop w:val="0"/>
                  <w:marBottom w:val="0"/>
                  <w:divBdr>
                    <w:top w:val="none" w:sz="0" w:space="0" w:color="auto"/>
                    <w:left w:val="none" w:sz="0" w:space="0" w:color="auto"/>
                    <w:bottom w:val="none" w:sz="0" w:space="0" w:color="auto"/>
                    <w:right w:val="none" w:sz="0" w:space="0" w:color="auto"/>
                  </w:divBdr>
                </w:div>
                <w:div w:id="1951544627">
                  <w:marLeft w:val="0"/>
                  <w:marRight w:val="0"/>
                  <w:marTop w:val="0"/>
                  <w:marBottom w:val="0"/>
                  <w:divBdr>
                    <w:top w:val="none" w:sz="0" w:space="0" w:color="auto"/>
                    <w:left w:val="none" w:sz="0" w:space="0" w:color="auto"/>
                    <w:bottom w:val="none" w:sz="0" w:space="0" w:color="auto"/>
                    <w:right w:val="none" w:sz="0" w:space="0" w:color="auto"/>
                  </w:divBdr>
                </w:div>
                <w:div w:id="1806001406">
                  <w:marLeft w:val="0"/>
                  <w:marRight w:val="0"/>
                  <w:marTop w:val="0"/>
                  <w:marBottom w:val="0"/>
                  <w:divBdr>
                    <w:top w:val="none" w:sz="0" w:space="0" w:color="auto"/>
                    <w:left w:val="none" w:sz="0" w:space="0" w:color="auto"/>
                    <w:bottom w:val="none" w:sz="0" w:space="0" w:color="auto"/>
                    <w:right w:val="none" w:sz="0" w:space="0" w:color="auto"/>
                  </w:divBdr>
                </w:div>
                <w:div w:id="2147159554">
                  <w:marLeft w:val="0"/>
                  <w:marRight w:val="0"/>
                  <w:marTop w:val="0"/>
                  <w:marBottom w:val="0"/>
                  <w:divBdr>
                    <w:top w:val="none" w:sz="0" w:space="0" w:color="auto"/>
                    <w:left w:val="none" w:sz="0" w:space="0" w:color="auto"/>
                    <w:bottom w:val="none" w:sz="0" w:space="0" w:color="auto"/>
                    <w:right w:val="none" w:sz="0" w:space="0" w:color="auto"/>
                  </w:divBdr>
                </w:div>
                <w:div w:id="2020888160">
                  <w:marLeft w:val="0"/>
                  <w:marRight w:val="0"/>
                  <w:marTop w:val="0"/>
                  <w:marBottom w:val="0"/>
                  <w:divBdr>
                    <w:top w:val="none" w:sz="0" w:space="0" w:color="auto"/>
                    <w:left w:val="none" w:sz="0" w:space="0" w:color="auto"/>
                    <w:bottom w:val="none" w:sz="0" w:space="0" w:color="auto"/>
                    <w:right w:val="none" w:sz="0" w:space="0" w:color="auto"/>
                  </w:divBdr>
                </w:div>
                <w:div w:id="1775903027">
                  <w:marLeft w:val="0"/>
                  <w:marRight w:val="0"/>
                  <w:marTop w:val="0"/>
                  <w:marBottom w:val="0"/>
                  <w:divBdr>
                    <w:top w:val="none" w:sz="0" w:space="0" w:color="auto"/>
                    <w:left w:val="none" w:sz="0" w:space="0" w:color="auto"/>
                    <w:bottom w:val="none" w:sz="0" w:space="0" w:color="auto"/>
                    <w:right w:val="none" w:sz="0" w:space="0" w:color="auto"/>
                  </w:divBdr>
                </w:div>
                <w:div w:id="806359452">
                  <w:marLeft w:val="0"/>
                  <w:marRight w:val="0"/>
                  <w:marTop w:val="0"/>
                  <w:marBottom w:val="0"/>
                  <w:divBdr>
                    <w:top w:val="none" w:sz="0" w:space="0" w:color="auto"/>
                    <w:left w:val="none" w:sz="0" w:space="0" w:color="auto"/>
                    <w:bottom w:val="none" w:sz="0" w:space="0" w:color="auto"/>
                    <w:right w:val="none" w:sz="0" w:space="0" w:color="auto"/>
                  </w:divBdr>
                </w:div>
                <w:div w:id="347678313">
                  <w:marLeft w:val="0"/>
                  <w:marRight w:val="0"/>
                  <w:marTop w:val="0"/>
                  <w:marBottom w:val="0"/>
                  <w:divBdr>
                    <w:top w:val="none" w:sz="0" w:space="0" w:color="auto"/>
                    <w:left w:val="none" w:sz="0" w:space="0" w:color="auto"/>
                    <w:bottom w:val="none" w:sz="0" w:space="0" w:color="auto"/>
                    <w:right w:val="none" w:sz="0" w:space="0" w:color="auto"/>
                  </w:divBdr>
                </w:div>
                <w:div w:id="670450521">
                  <w:marLeft w:val="0"/>
                  <w:marRight w:val="0"/>
                  <w:marTop w:val="0"/>
                  <w:marBottom w:val="0"/>
                  <w:divBdr>
                    <w:top w:val="none" w:sz="0" w:space="0" w:color="auto"/>
                    <w:left w:val="none" w:sz="0" w:space="0" w:color="auto"/>
                    <w:bottom w:val="none" w:sz="0" w:space="0" w:color="auto"/>
                    <w:right w:val="none" w:sz="0" w:space="0" w:color="auto"/>
                  </w:divBdr>
                </w:div>
                <w:div w:id="1163931405">
                  <w:marLeft w:val="0"/>
                  <w:marRight w:val="0"/>
                  <w:marTop w:val="0"/>
                  <w:marBottom w:val="0"/>
                  <w:divBdr>
                    <w:top w:val="none" w:sz="0" w:space="0" w:color="auto"/>
                    <w:left w:val="none" w:sz="0" w:space="0" w:color="auto"/>
                    <w:bottom w:val="none" w:sz="0" w:space="0" w:color="auto"/>
                    <w:right w:val="none" w:sz="0" w:space="0" w:color="auto"/>
                  </w:divBdr>
                </w:div>
                <w:div w:id="346446368">
                  <w:marLeft w:val="0"/>
                  <w:marRight w:val="0"/>
                  <w:marTop w:val="0"/>
                  <w:marBottom w:val="0"/>
                  <w:divBdr>
                    <w:top w:val="none" w:sz="0" w:space="0" w:color="auto"/>
                    <w:left w:val="none" w:sz="0" w:space="0" w:color="auto"/>
                    <w:bottom w:val="none" w:sz="0" w:space="0" w:color="auto"/>
                    <w:right w:val="none" w:sz="0" w:space="0" w:color="auto"/>
                  </w:divBdr>
                </w:div>
                <w:div w:id="509181243">
                  <w:marLeft w:val="0"/>
                  <w:marRight w:val="0"/>
                  <w:marTop w:val="0"/>
                  <w:marBottom w:val="0"/>
                  <w:divBdr>
                    <w:top w:val="none" w:sz="0" w:space="0" w:color="auto"/>
                    <w:left w:val="none" w:sz="0" w:space="0" w:color="auto"/>
                    <w:bottom w:val="none" w:sz="0" w:space="0" w:color="auto"/>
                    <w:right w:val="none" w:sz="0" w:space="0" w:color="auto"/>
                  </w:divBdr>
                </w:div>
                <w:div w:id="2026981398">
                  <w:marLeft w:val="0"/>
                  <w:marRight w:val="0"/>
                  <w:marTop w:val="0"/>
                  <w:marBottom w:val="0"/>
                  <w:divBdr>
                    <w:top w:val="none" w:sz="0" w:space="0" w:color="auto"/>
                    <w:left w:val="none" w:sz="0" w:space="0" w:color="auto"/>
                    <w:bottom w:val="none" w:sz="0" w:space="0" w:color="auto"/>
                    <w:right w:val="none" w:sz="0" w:space="0" w:color="auto"/>
                  </w:divBdr>
                </w:div>
                <w:div w:id="152646530">
                  <w:marLeft w:val="0"/>
                  <w:marRight w:val="0"/>
                  <w:marTop w:val="0"/>
                  <w:marBottom w:val="0"/>
                  <w:divBdr>
                    <w:top w:val="none" w:sz="0" w:space="0" w:color="auto"/>
                    <w:left w:val="none" w:sz="0" w:space="0" w:color="auto"/>
                    <w:bottom w:val="none" w:sz="0" w:space="0" w:color="auto"/>
                    <w:right w:val="none" w:sz="0" w:space="0" w:color="auto"/>
                  </w:divBdr>
                </w:div>
                <w:div w:id="112210213">
                  <w:marLeft w:val="0"/>
                  <w:marRight w:val="0"/>
                  <w:marTop w:val="0"/>
                  <w:marBottom w:val="0"/>
                  <w:divBdr>
                    <w:top w:val="none" w:sz="0" w:space="0" w:color="auto"/>
                    <w:left w:val="none" w:sz="0" w:space="0" w:color="auto"/>
                    <w:bottom w:val="none" w:sz="0" w:space="0" w:color="auto"/>
                    <w:right w:val="none" w:sz="0" w:space="0" w:color="auto"/>
                  </w:divBdr>
                </w:div>
                <w:div w:id="2051375040">
                  <w:marLeft w:val="0"/>
                  <w:marRight w:val="0"/>
                  <w:marTop w:val="0"/>
                  <w:marBottom w:val="0"/>
                  <w:divBdr>
                    <w:top w:val="none" w:sz="0" w:space="0" w:color="auto"/>
                    <w:left w:val="none" w:sz="0" w:space="0" w:color="auto"/>
                    <w:bottom w:val="none" w:sz="0" w:space="0" w:color="auto"/>
                    <w:right w:val="none" w:sz="0" w:space="0" w:color="auto"/>
                  </w:divBdr>
                </w:div>
                <w:div w:id="435753372">
                  <w:marLeft w:val="0"/>
                  <w:marRight w:val="0"/>
                  <w:marTop w:val="0"/>
                  <w:marBottom w:val="0"/>
                  <w:divBdr>
                    <w:top w:val="none" w:sz="0" w:space="0" w:color="auto"/>
                    <w:left w:val="none" w:sz="0" w:space="0" w:color="auto"/>
                    <w:bottom w:val="none" w:sz="0" w:space="0" w:color="auto"/>
                    <w:right w:val="none" w:sz="0" w:space="0" w:color="auto"/>
                  </w:divBdr>
                </w:div>
                <w:div w:id="743912825">
                  <w:marLeft w:val="0"/>
                  <w:marRight w:val="0"/>
                  <w:marTop w:val="0"/>
                  <w:marBottom w:val="0"/>
                  <w:divBdr>
                    <w:top w:val="none" w:sz="0" w:space="0" w:color="auto"/>
                    <w:left w:val="none" w:sz="0" w:space="0" w:color="auto"/>
                    <w:bottom w:val="none" w:sz="0" w:space="0" w:color="auto"/>
                    <w:right w:val="none" w:sz="0" w:space="0" w:color="auto"/>
                  </w:divBdr>
                </w:div>
                <w:div w:id="1811357240">
                  <w:marLeft w:val="0"/>
                  <w:marRight w:val="0"/>
                  <w:marTop w:val="0"/>
                  <w:marBottom w:val="0"/>
                  <w:divBdr>
                    <w:top w:val="none" w:sz="0" w:space="0" w:color="auto"/>
                    <w:left w:val="none" w:sz="0" w:space="0" w:color="auto"/>
                    <w:bottom w:val="none" w:sz="0" w:space="0" w:color="auto"/>
                    <w:right w:val="none" w:sz="0" w:space="0" w:color="auto"/>
                  </w:divBdr>
                </w:div>
                <w:div w:id="1315525342">
                  <w:marLeft w:val="0"/>
                  <w:marRight w:val="0"/>
                  <w:marTop w:val="0"/>
                  <w:marBottom w:val="0"/>
                  <w:divBdr>
                    <w:top w:val="none" w:sz="0" w:space="0" w:color="auto"/>
                    <w:left w:val="none" w:sz="0" w:space="0" w:color="auto"/>
                    <w:bottom w:val="none" w:sz="0" w:space="0" w:color="auto"/>
                    <w:right w:val="none" w:sz="0" w:space="0" w:color="auto"/>
                  </w:divBdr>
                </w:div>
                <w:div w:id="811795713">
                  <w:marLeft w:val="0"/>
                  <w:marRight w:val="0"/>
                  <w:marTop w:val="0"/>
                  <w:marBottom w:val="0"/>
                  <w:divBdr>
                    <w:top w:val="none" w:sz="0" w:space="0" w:color="auto"/>
                    <w:left w:val="none" w:sz="0" w:space="0" w:color="auto"/>
                    <w:bottom w:val="none" w:sz="0" w:space="0" w:color="auto"/>
                    <w:right w:val="none" w:sz="0" w:space="0" w:color="auto"/>
                  </w:divBdr>
                </w:div>
                <w:div w:id="2031485863">
                  <w:marLeft w:val="0"/>
                  <w:marRight w:val="0"/>
                  <w:marTop w:val="0"/>
                  <w:marBottom w:val="0"/>
                  <w:divBdr>
                    <w:top w:val="none" w:sz="0" w:space="0" w:color="auto"/>
                    <w:left w:val="none" w:sz="0" w:space="0" w:color="auto"/>
                    <w:bottom w:val="none" w:sz="0" w:space="0" w:color="auto"/>
                    <w:right w:val="none" w:sz="0" w:space="0" w:color="auto"/>
                  </w:divBdr>
                </w:div>
                <w:div w:id="426736328">
                  <w:marLeft w:val="0"/>
                  <w:marRight w:val="0"/>
                  <w:marTop w:val="0"/>
                  <w:marBottom w:val="0"/>
                  <w:divBdr>
                    <w:top w:val="none" w:sz="0" w:space="0" w:color="auto"/>
                    <w:left w:val="none" w:sz="0" w:space="0" w:color="auto"/>
                    <w:bottom w:val="none" w:sz="0" w:space="0" w:color="auto"/>
                    <w:right w:val="none" w:sz="0" w:space="0" w:color="auto"/>
                  </w:divBdr>
                </w:div>
                <w:div w:id="68161233">
                  <w:marLeft w:val="0"/>
                  <w:marRight w:val="0"/>
                  <w:marTop w:val="0"/>
                  <w:marBottom w:val="0"/>
                  <w:divBdr>
                    <w:top w:val="none" w:sz="0" w:space="0" w:color="auto"/>
                    <w:left w:val="none" w:sz="0" w:space="0" w:color="auto"/>
                    <w:bottom w:val="none" w:sz="0" w:space="0" w:color="auto"/>
                    <w:right w:val="none" w:sz="0" w:space="0" w:color="auto"/>
                  </w:divBdr>
                </w:div>
                <w:div w:id="40835307">
                  <w:marLeft w:val="0"/>
                  <w:marRight w:val="0"/>
                  <w:marTop w:val="0"/>
                  <w:marBottom w:val="0"/>
                  <w:divBdr>
                    <w:top w:val="none" w:sz="0" w:space="0" w:color="auto"/>
                    <w:left w:val="none" w:sz="0" w:space="0" w:color="auto"/>
                    <w:bottom w:val="none" w:sz="0" w:space="0" w:color="auto"/>
                    <w:right w:val="none" w:sz="0" w:space="0" w:color="auto"/>
                  </w:divBdr>
                </w:div>
                <w:div w:id="1931112294">
                  <w:marLeft w:val="0"/>
                  <w:marRight w:val="0"/>
                  <w:marTop w:val="0"/>
                  <w:marBottom w:val="0"/>
                  <w:divBdr>
                    <w:top w:val="none" w:sz="0" w:space="0" w:color="auto"/>
                    <w:left w:val="none" w:sz="0" w:space="0" w:color="auto"/>
                    <w:bottom w:val="none" w:sz="0" w:space="0" w:color="auto"/>
                    <w:right w:val="none" w:sz="0" w:space="0" w:color="auto"/>
                  </w:divBdr>
                </w:div>
                <w:div w:id="1068962593">
                  <w:marLeft w:val="0"/>
                  <w:marRight w:val="0"/>
                  <w:marTop w:val="0"/>
                  <w:marBottom w:val="0"/>
                  <w:divBdr>
                    <w:top w:val="none" w:sz="0" w:space="0" w:color="auto"/>
                    <w:left w:val="none" w:sz="0" w:space="0" w:color="auto"/>
                    <w:bottom w:val="none" w:sz="0" w:space="0" w:color="auto"/>
                    <w:right w:val="none" w:sz="0" w:space="0" w:color="auto"/>
                  </w:divBdr>
                </w:div>
                <w:div w:id="1749187511">
                  <w:marLeft w:val="0"/>
                  <w:marRight w:val="0"/>
                  <w:marTop w:val="0"/>
                  <w:marBottom w:val="0"/>
                  <w:divBdr>
                    <w:top w:val="none" w:sz="0" w:space="0" w:color="auto"/>
                    <w:left w:val="none" w:sz="0" w:space="0" w:color="auto"/>
                    <w:bottom w:val="none" w:sz="0" w:space="0" w:color="auto"/>
                    <w:right w:val="none" w:sz="0" w:space="0" w:color="auto"/>
                  </w:divBdr>
                </w:div>
                <w:div w:id="895120193">
                  <w:marLeft w:val="0"/>
                  <w:marRight w:val="0"/>
                  <w:marTop w:val="0"/>
                  <w:marBottom w:val="0"/>
                  <w:divBdr>
                    <w:top w:val="none" w:sz="0" w:space="0" w:color="auto"/>
                    <w:left w:val="none" w:sz="0" w:space="0" w:color="auto"/>
                    <w:bottom w:val="none" w:sz="0" w:space="0" w:color="auto"/>
                    <w:right w:val="none" w:sz="0" w:space="0" w:color="auto"/>
                  </w:divBdr>
                </w:div>
                <w:div w:id="882447758">
                  <w:marLeft w:val="0"/>
                  <w:marRight w:val="0"/>
                  <w:marTop w:val="0"/>
                  <w:marBottom w:val="0"/>
                  <w:divBdr>
                    <w:top w:val="none" w:sz="0" w:space="0" w:color="auto"/>
                    <w:left w:val="none" w:sz="0" w:space="0" w:color="auto"/>
                    <w:bottom w:val="none" w:sz="0" w:space="0" w:color="auto"/>
                    <w:right w:val="none" w:sz="0" w:space="0" w:color="auto"/>
                  </w:divBdr>
                </w:div>
                <w:div w:id="2072272089">
                  <w:marLeft w:val="0"/>
                  <w:marRight w:val="0"/>
                  <w:marTop w:val="0"/>
                  <w:marBottom w:val="0"/>
                  <w:divBdr>
                    <w:top w:val="none" w:sz="0" w:space="0" w:color="auto"/>
                    <w:left w:val="none" w:sz="0" w:space="0" w:color="auto"/>
                    <w:bottom w:val="none" w:sz="0" w:space="0" w:color="auto"/>
                    <w:right w:val="none" w:sz="0" w:space="0" w:color="auto"/>
                  </w:divBdr>
                </w:div>
                <w:div w:id="659383674">
                  <w:marLeft w:val="0"/>
                  <w:marRight w:val="0"/>
                  <w:marTop w:val="0"/>
                  <w:marBottom w:val="0"/>
                  <w:divBdr>
                    <w:top w:val="none" w:sz="0" w:space="0" w:color="auto"/>
                    <w:left w:val="none" w:sz="0" w:space="0" w:color="auto"/>
                    <w:bottom w:val="none" w:sz="0" w:space="0" w:color="auto"/>
                    <w:right w:val="none" w:sz="0" w:space="0" w:color="auto"/>
                  </w:divBdr>
                </w:div>
                <w:div w:id="751391183">
                  <w:marLeft w:val="0"/>
                  <w:marRight w:val="0"/>
                  <w:marTop w:val="0"/>
                  <w:marBottom w:val="0"/>
                  <w:divBdr>
                    <w:top w:val="none" w:sz="0" w:space="0" w:color="auto"/>
                    <w:left w:val="none" w:sz="0" w:space="0" w:color="auto"/>
                    <w:bottom w:val="none" w:sz="0" w:space="0" w:color="auto"/>
                    <w:right w:val="none" w:sz="0" w:space="0" w:color="auto"/>
                  </w:divBdr>
                </w:div>
                <w:div w:id="475953802">
                  <w:marLeft w:val="0"/>
                  <w:marRight w:val="0"/>
                  <w:marTop w:val="0"/>
                  <w:marBottom w:val="0"/>
                  <w:divBdr>
                    <w:top w:val="none" w:sz="0" w:space="0" w:color="auto"/>
                    <w:left w:val="none" w:sz="0" w:space="0" w:color="auto"/>
                    <w:bottom w:val="none" w:sz="0" w:space="0" w:color="auto"/>
                    <w:right w:val="none" w:sz="0" w:space="0" w:color="auto"/>
                  </w:divBdr>
                </w:div>
                <w:div w:id="1061559940">
                  <w:marLeft w:val="0"/>
                  <w:marRight w:val="0"/>
                  <w:marTop w:val="0"/>
                  <w:marBottom w:val="0"/>
                  <w:divBdr>
                    <w:top w:val="none" w:sz="0" w:space="0" w:color="auto"/>
                    <w:left w:val="none" w:sz="0" w:space="0" w:color="auto"/>
                    <w:bottom w:val="none" w:sz="0" w:space="0" w:color="auto"/>
                    <w:right w:val="none" w:sz="0" w:space="0" w:color="auto"/>
                  </w:divBdr>
                </w:div>
                <w:div w:id="945582731">
                  <w:marLeft w:val="0"/>
                  <w:marRight w:val="0"/>
                  <w:marTop w:val="0"/>
                  <w:marBottom w:val="0"/>
                  <w:divBdr>
                    <w:top w:val="none" w:sz="0" w:space="0" w:color="auto"/>
                    <w:left w:val="none" w:sz="0" w:space="0" w:color="auto"/>
                    <w:bottom w:val="none" w:sz="0" w:space="0" w:color="auto"/>
                    <w:right w:val="none" w:sz="0" w:space="0" w:color="auto"/>
                  </w:divBdr>
                </w:div>
                <w:div w:id="1998607291">
                  <w:marLeft w:val="0"/>
                  <w:marRight w:val="0"/>
                  <w:marTop w:val="0"/>
                  <w:marBottom w:val="0"/>
                  <w:divBdr>
                    <w:top w:val="none" w:sz="0" w:space="0" w:color="auto"/>
                    <w:left w:val="none" w:sz="0" w:space="0" w:color="auto"/>
                    <w:bottom w:val="none" w:sz="0" w:space="0" w:color="auto"/>
                    <w:right w:val="none" w:sz="0" w:space="0" w:color="auto"/>
                  </w:divBdr>
                </w:div>
                <w:div w:id="1207253070">
                  <w:marLeft w:val="0"/>
                  <w:marRight w:val="0"/>
                  <w:marTop w:val="0"/>
                  <w:marBottom w:val="0"/>
                  <w:divBdr>
                    <w:top w:val="none" w:sz="0" w:space="0" w:color="auto"/>
                    <w:left w:val="none" w:sz="0" w:space="0" w:color="auto"/>
                    <w:bottom w:val="none" w:sz="0" w:space="0" w:color="auto"/>
                    <w:right w:val="none" w:sz="0" w:space="0" w:color="auto"/>
                  </w:divBdr>
                </w:div>
                <w:div w:id="573593184">
                  <w:marLeft w:val="0"/>
                  <w:marRight w:val="0"/>
                  <w:marTop w:val="0"/>
                  <w:marBottom w:val="0"/>
                  <w:divBdr>
                    <w:top w:val="none" w:sz="0" w:space="0" w:color="auto"/>
                    <w:left w:val="none" w:sz="0" w:space="0" w:color="auto"/>
                    <w:bottom w:val="none" w:sz="0" w:space="0" w:color="auto"/>
                    <w:right w:val="none" w:sz="0" w:space="0" w:color="auto"/>
                  </w:divBdr>
                </w:div>
                <w:div w:id="1384333309">
                  <w:marLeft w:val="0"/>
                  <w:marRight w:val="0"/>
                  <w:marTop w:val="0"/>
                  <w:marBottom w:val="0"/>
                  <w:divBdr>
                    <w:top w:val="none" w:sz="0" w:space="0" w:color="auto"/>
                    <w:left w:val="none" w:sz="0" w:space="0" w:color="auto"/>
                    <w:bottom w:val="none" w:sz="0" w:space="0" w:color="auto"/>
                    <w:right w:val="none" w:sz="0" w:space="0" w:color="auto"/>
                  </w:divBdr>
                </w:div>
                <w:div w:id="1955091371">
                  <w:marLeft w:val="0"/>
                  <w:marRight w:val="0"/>
                  <w:marTop w:val="0"/>
                  <w:marBottom w:val="0"/>
                  <w:divBdr>
                    <w:top w:val="none" w:sz="0" w:space="0" w:color="auto"/>
                    <w:left w:val="none" w:sz="0" w:space="0" w:color="auto"/>
                    <w:bottom w:val="none" w:sz="0" w:space="0" w:color="auto"/>
                    <w:right w:val="none" w:sz="0" w:space="0" w:color="auto"/>
                  </w:divBdr>
                </w:div>
                <w:div w:id="1522090171">
                  <w:marLeft w:val="0"/>
                  <w:marRight w:val="0"/>
                  <w:marTop w:val="0"/>
                  <w:marBottom w:val="0"/>
                  <w:divBdr>
                    <w:top w:val="none" w:sz="0" w:space="0" w:color="auto"/>
                    <w:left w:val="none" w:sz="0" w:space="0" w:color="auto"/>
                    <w:bottom w:val="none" w:sz="0" w:space="0" w:color="auto"/>
                    <w:right w:val="none" w:sz="0" w:space="0" w:color="auto"/>
                  </w:divBdr>
                </w:div>
                <w:div w:id="1598250435">
                  <w:marLeft w:val="0"/>
                  <w:marRight w:val="0"/>
                  <w:marTop w:val="0"/>
                  <w:marBottom w:val="0"/>
                  <w:divBdr>
                    <w:top w:val="none" w:sz="0" w:space="0" w:color="auto"/>
                    <w:left w:val="none" w:sz="0" w:space="0" w:color="auto"/>
                    <w:bottom w:val="none" w:sz="0" w:space="0" w:color="auto"/>
                    <w:right w:val="none" w:sz="0" w:space="0" w:color="auto"/>
                  </w:divBdr>
                </w:div>
                <w:div w:id="887228587">
                  <w:marLeft w:val="0"/>
                  <w:marRight w:val="0"/>
                  <w:marTop w:val="0"/>
                  <w:marBottom w:val="0"/>
                  <w:divBdr>
                    <w:top w:val="none" w:sz="0" w:space="0" w:color="auto"/>
                    <w:left w:val="none" w:sz="0" w:space="0" w:color="auto"/>
                    <w:bottom w:val="none" w:sz="0" w:space="0" w:color="auto"/>
                    <w:right w:val="none" w:sz="0" w:space="0" w:color="auto"/>
                  </w:divBdr>
                </w:div>
                <w:div w:id="327440281">
                  <w:marLeft w:val="0"/>
                  <w:marRight w:val="0"/>
                  <w:marTop w:val="0"/>
                  <w:marBottom w:val="0"/>
                  <w:divBdr>
                    <w:top w:val="none" w:sz="0" w:space="0" w:color="auto"/>
                    <w:left w:val="none" w:sz="0" w:space="0" w:color="auto"/>
                    <w:bottom w:val="none" w:sz="0" w:space="0" w:color="auto"/>
                    <w:right w:val="none" w:sz="0" w:space="0" w:color="auto"/>
                  </w:divBdr>
                </w:div>
                <w:div w:id="945650054">
                  <w:marLeft w:val="0"/>
                  <w:marRight w:val="0"/>
                  <w:marTop w:val="0"/>
                  <w:marBottom w:val="0"/>
                  <w:divBdr>
                    <w:top w:val="none" w:sz="0" w:space="0" w:color="auto"/>
                    <w:left w:val="none" w:sz="0" w:space="0" w:color="auto"/>
                    <w:bottom w:val="none" w:sz="0" w:space="0" w:color="auto"/>
                    <w:right w:val="none" w:sz="0" w:space="0" w:color="auto"/>
                  </w:divBdr>
                </w:div>
                <w:div w:id="767429096">
                  <w:marLeft w:val="0"/>
                  <w:marRight w:val="0"/>
                  <w:marTop w:val="0"/>
                  <w:marBottom w:val="0"/>
                  <w:divBdr>
                    <w:top w:val="none" w:sz="0" w:space="0" w:color="auto"/>
                    <w:left w:val="none" w:sz="0" w:space="0" w:color="auto"/>
                    <w:bottom w:val="none" w:sz="0" w:space="0" w:color="auto"/>
                    <w:right w:val="none" w:sz="0" w:space="0" w:color="auto"/>
                  </w:divBdr>
                </w:div>
                <w:div w:id="413161825">
                  <w:marLeft w:val="0"/>
                  <w:marRight w:val="0"/>
                  <w:marTop w:val="0"/>
                  <w:marBottom w:val="0"/>
                  <w:divBdr>
                    <w:top w:val="none" w:sz="0" w:space="0" w:color="auto"/>
                    <w:left w:val="none" w:sz="0" w:space="0" w:color="auto"/>
                    <w:bottom w:val="none" w:sz="0" w:space="0" w:color="auto"/>
                    <w:right w:val="none" w:sz="0" w:space="0" w:color="auto"/>
                  </w:divBdr>
                </w:div>
                <w:div w:id="46226216">
                  <w:marLeft w:val="0"/>
                  <w:marRight w:val="0"/>
                  <w:marTop w:val="0"/>
                  <w:marBottom w:val="0"/>
                  <w:divBdr>
                    <w:top w:val="none" w:sz="0" w:space="0" w:color="auto"/>
                    <w:left w:val="none" w:sz="0" w:space="0" w:color="auto"/>
                    <w:bottom w:val="none" w:sz="0" w:space="0" w:color="auto"/>
                    <w:right w:val="none" w:sz="0" w:space="0" w:color="auto"/>
                  </w:divBdr>
                </w:div>
                <w:div w:id="990869960">
                  <w:marLeft w:val="0"/>
                  <w:marRight w:val="0"/>
                  <w:marTop w:val="0"/>
                  <w:marBottom w:val="0"/>
                  <w:divBdr>
                    <w:top w:val="none" w:sz="0" w:space="0" w:color="auto"/>
                    <w:left w:val="none" w:sz="0" w:space="0" w:color="auto"/>
                    <w:bottom w:val="none" w:sz="0" w:space="0" w:color="auto"/>
                    <w:right w:val="none" w:sz="0" w:space="0" w:color="auto"/>
                  </w:divBdr>
                </w:div>
                <w:div w:id="434138636">
                  <w:marLeft w:val="0"/>
                  <w:marRight w:val="0"/>
                  <w:marTop w:val="0"/>
                  <w:marBottom w:val="0"/>
                  <w:divBdr>
                    <w:top w:val="none" w:sz="0" w:space="0" w:color="auto"/>
                    <w:left w:val="none" w:sz="0" w:space="0" w:color="auto"/>
                    <w:bottom w:val="none" w:sz="0" w:space="0" w:color="auto"/>
                    <w:right w:val="none" w:sz="0" w:space="0" w:color="auto"/>
                  </w:divBdr>
                </w:div>
                <w:div w:id="1957179410">
                  <w:marLeft w:val="0"/>
                  <w:marRight w:val="0"/>
                  <w:marTop w:val="0"/>
                  <w:marBottom w:val="0"/>
                  <w:divBdr>
                    <w:top w:val="none" w:sz="0" w:space="0" w:color="auto"/>
                    <w:left w:val="none" w:sz="0" w:space="0" w:color="auto"/>
                    <w:bottom w:val="none" w:sz="0" w:space="0" w:color="auto"/>
                    <w:right w:val="none" w:sz="0" w:space="0" w:color="auto"/>
                  </w:divBdr>
                </w:div>
                <w:div w:id="1053189231">
                  <w:marLeft w:val="0"/>
                  <w:marRight w:val="0"/>
                  <w:marTop w:val="0"/>
                  <w:marBottom w:val="0"/>
                  <w:divBdr>
                    <w:top w:val="none" w:sz="0" w:space="0" w:color="auto"/>
                    <w:left w:val="none" w:sz="0" w:space="0" w:color="auto"/>
                    <w:bottom w:val="none" w:sz="0" w:space="0" w:color="auto"/>
                    <w:right w:val="none" w:sz="0" w:space="0" w:color="auto"/>
                  </w:divBdr>
                </w:div>
                <w:div w:id="343674828">
                  <w:marLeft w:val="0"/>
                  <w:marRight w:val="0"/>
                  <w:marTop w:val="0"/>
                  <w:marBottom w:val="0"/>
                  <w:divBdr>
                    <w:top w:val="none" w:sz="0" w:space="0" w:color="auto"/>
                    <w:left w:val="none" w:sz="0" w:space="0" w:color="auto"/>
                    <w:bottom w:val="none" w:sz="0" w:space="0" w:color="auto"/>
                    <w:right w:val="none" w:sz="0" w:space="0" w:color="auto"/>
                  </w:divBdr>
                </w:div>
                <w:div w:id="362175039">
                  <w:marLeft w:val="0"/>
                  <w:marRight w:val="0"/>
                  <w:marTop w:val="0"/>
                  <w:marBottom w:val="0"/>
                  <w:divBdr>
                    <w:top w:val="none" w:sz="0" w:space="0" w:color="auto"/>
                    <w:left w:val="none" w:sz="0" w:space="0" w:color="auto"/>
                    <w:bottom w:val="none" w:sz="0" w:space="0" w:color="auto"/>
                    <w:right w:val="none" w:sz="0" w:space="0" w:color="auto"/>
                  </w:divBdr>
                </w:div>
                <w:div w:id="1216624558">
                  <w:marLeft w:val="0"/>
                  <w:marRight w:val="0"/>
                  <w:marTop w:val="0"/>
                  <w:marBottom w:val="0"/>
                  <w:divBdr>
                    <w:top w:val="none" w:sz="0" w:space="0" w:color="auto"/>
                    <w:left w:val="none" w:sz="0" w:space="0" w:color="auto"/>
                    <w:bottom w:val="none" w:sz="0" w:space="0" w:color="auto"/>
                    <w:right w:val="none" w:sz="0" w:space="0" w:color="auto"/>
                  </w:divBdr>
                </w:div>
                <w:div w:id="922301978">
                  <w:marLeft w:val="0"/>
                  <w:marRight w:val="0"/>
                  <w:marTop w:val="0"/>
                  <w:marBottom w:val="0"/>
                  <w:divBdr>
                    <w:top w:val="none" w:sz="0" w:space="0" w:color="auto"/>
                    <w:left w:val="none" w:sz="0" w:space="0" w:color="auto"/>
                    <w:bottom w:val="none" w:sz="0" w:space="0" w:color="auto"/>
                    <w:right w:val="none" w:sz="0" w:space="0" w:color="auto"/>
                  </w:divBdr>
                </w:div>
                <w:div w:id="423459590">
                  <w:marLeft w:val="0"/>
                  <w:marRight w:val="0"/>
                  <w:marTop w:val="0"/>
                  <w:marBottom w:val="0"/>
                  <w:divBdr>
                    <w:top w:val="none" w:sz="0" w:space="0" w:color="auto"/>
                    <w:left w:val="none" w:sz="0" w:space="0" w:color="auto"/>
                    <w:bottom w:val="none" w:sz="0" w:space="0" w:color="auto"/>
                    <w:right w:val="none" w:sz="0" w:space="0" w:color="auto"/>
                  </w:divBdr>
                </w:div>
                <w:div w:id="1006319937">
                  <w:marLeft w:val="0"/>
                  <w:marRight w:val="0"/>
                  <w:marTop w:val="0"/>
                  <w:marBottom w:val="0"/>
                  <w:divBdr>
                    <w:top w:val="none" w:sz="0" w:space="0" w:color="auto"/>
                    <w:left w:val="none" w:sz="0" w:space="0" w:color="auto"/>
                    <w:bottom w:val="none" w:sz="0" w:space="0" w:color="auto"/>
                    <w:right w:val="none" w:sz="0" w:space="0" w:color="auto"/>
                  </w:divBdr>
                </w:div>
                <w:div w:id="234710901">
                  <w:marLeft w:val="0"/>
                  <w:marRight w:val="0"/>
                  <w:marTop w:val="0"/>
                  <w:marBottom w:val="0"/>
                  <w:divBdr>
                    <w:top w:val="none" w:sz="0" w:space="0" w:color="auto"/>
                    <w:left w:val="none" w:sz="0" w:space="0" w:color="auto"/>
                    <w:bottom w:val="none" w:sz="0" w:space="0" w:color="auto"/>
                    <w:right w:val="none" w:sz="0" w:space="0" w:color="auto"/>
                  </w:divBdr>
                </w:div>
                <w:div w:id="638877095">
                  <w:marLeft w:val="0"/>
                  <w:marRight w:val="0"/>
                  <w:marTop w:val="0"/>
                  <w:marBottom w:val="0"/>
                  <w:divBdr>
                    <w:top w:val="none" w:sz="0" w:space="0" w:color="auto"/>
                    <w:left w:val="none" w:sz="0" w:space="0" w:color="auto"/>
                    <w:bottom w:val="none" w:sz="0" w:space="0" w:color="auto"/>
                    <w:right w:val="none" w:sz="0" w:space="0" w:color="auto"/>
                  </w:divBdr>
                </w:div>
                <w:div w:id="555707405">
                  <w:marLeft w:val="0"/>
                  <w:marRight w:val="0"/>
                  <w:marTop w:val="0"/>
                  <w:marBottom w:val="0"/>
                  <w:divBdr>
                    <w:top w:val="none" w:sz="0" w:space="0" w:color="auto"/>
                    <w:left w:val="none" w:sz="0" w:space="0" w:color="auto"/>
                    <w:bottom w:val="none" w:sz="0" w:space="0" w:color="auto"/>
                    <w:right w:val="none" w:sz="0" w:space="0" w:color="auto"/>
                  </w:divBdr>
                </w:div>
                <w:div w:id="1593203910">
                  <w:marLeft w:val="0"/>
                  <w:marRight w:val="0"/>
                  <w:marTop w:val="0"/>
                  <w:marBottom w:val="0"/>
                  <w:divBdr>
                    <w:top w:val="none" w:sz="0" w:space="0" w:color="auto"/>
                    <w:left w:val="none" w:sz="0" w:space="0" w:color="auto"/>
                    <w:bottom w:val="none" w:sz="0" w:space="0" w:color="auto"/>
                    <w:right w:val="none" w:sz="0" w:space="0" w:color="auto"/>
                  </w:divBdr>
                </w:div>
                <w:div w:id="941768179">
                  <w:marLeft w:val="0"/>
                  <w:marRight w:val="0"/>
                  <w:marTop w:val="0"/>
                  <w:marBottom w:val="0"/>
                  <w:divBdr>
                    <w:top w:val="none" w:sz="0" w:space="0" w:color="auto"/>
                    <w:left w:val="none" w:sz="0" w:space="0" w:color="auto"/>
                    <w:bottom w:val="none" w:sz="0" w:space="0" w:color="auto"/>
                    <w:right w:val="none" w:sz="0" w:space="0" w:color="auto"/>
                  </w:divBdr>
                </w:div>
                <w:div w:id="1019089736">
                  <w:marLeft w:val="0"/>
                  <w:marRight w:val="0"/>
                  <w:marTop w:val="0"/>
                  <w:marBottom w:val="0"/>
                  <w:divBdr>
                    <w:top w:val="none" w:sz="0" w:space="0" w:color="auto"/>
                    <w:left w:val="none" w:sz="0" w:space="0" w:color="auto"/>
                    <w:bottom w:val="none" w:sz="0" w:space="0" w:color="auto"/>
                    <w:right w:val="none" w:sz="0" w:space="0" w:color="auto"/>
                  </w:divBdr>
                </w:div>
                <w:div w:id="1124890142">
                  <w:marLeft w:val="0"/>
                  <w:marRight w:val="0"/>
                  <w:marTop w:val="0"/>
                  <w:marBottom w:val="0"/>
                  <w:divBdr>
                    <w:top w:val="none" w:sz="0" w:space="0" w:color="auto"/>
                    <w:left w:val="none" w:sz="0" w:space="0" w:color="auto"/>
                    <w:bottom w:val="none" w:sz="0" w:space="0" w:color="auto"/>
                    <w:right w:val="none" w:sz="0" w:space="0" w:color="auto"/>
                  </w:divBdr>
                </w:div>
                <w:div w:id="309360487">
                  <w:marLeft w:val="0"/>
                  <w:marRight w:val="0"/>
                  <w:marTop w:val="0"/>
                  <w:marBottom w:val="0"/>
                  <w:divBdr>
                    <w:top w:val="none" w:sz="0" w:space="0" w:color="auto"/>
                    <w:left w:val="none" w:sz="0" w:space="0" w:color="auto"/>
                    <w:bottom w:val="none" w:sz="0" w:space="0" w:color="auto"/>
                    <w:right w:val="none" w:sz="0" w:space="0" w:color="auto"/>
                  </w:divBdr>
                </w:div>
                <w:div w:id="1216164558">
                  <w:marLeft w:val="0"/>
                  <w:marRight w:val="0"/>
                  <w:marTop w:val="0"/>
                  <w:marBottom w:val="0"/>
                  <w:divBdr>
                    <w:top w:val="none" w:sz="0" w:space="0" w:color="auto"/>
                    <w:left w:val="none" w:sz="0" w:space="0" w:color="auto"/>
                    <w:bottom w:val="none" w:sz="0" w:space="0" w:color="auto"/>
                    <w:right w:val="none" w:sz="0" w:space="0" w:color="auto"/>
                  </w:divBdr>
                </w:div>
                <w:div w:id="402022244">
                  <w:marLeft w:val="0"/>
                  <w:marRight w:val="0"/>
                  <w:marTop w:val="0"/>
                  <w:marBottom w:val="0"/>
                  <w:divBdr>
                    <w:top w:val="none" w:sz="0" w:space="0" w:color="auto"/>
                    <w:left w:val="none" w:sz="0" w:space="0" w:color="auto"/>
                    <w:bottom w:val="none" w:sz="0" w:space="0" w:color="auto"/>
                    <w:right w:val="none" w:sz="0" w:space="0" w:color="auto"/>
                  </w:divBdr>
                </w:div>
                <w:div w:id="869143994">
                  <w:marLeft w:val="0"/>
                  <w:marRight w:val="0"/>
                  <w:marTop w:val="0"/>
                  <w:marBottom w:val="0"/>
                  <w:divBdr>
                    <w:top w:val="none" w:sz="0" w:space="0" w:color="auto"/>
                    <w:left w:val="none" w:sz="0" w:space="0" w:color="auto"/>
                    <w:bottom w:val="none" w:sz="0" w:space="0" w:color="auto"/>
                    <w:right w:val="none" w:sz="0" w:space="0" w:color="auto"/>
                  </w:divBdr>
                </w:div>
                <w:div w:id="493491169">
                  <w:marLeft w:val="0"/>
                  <w:marRight w:val="0"/>
                  <w:marTop w:val="0"/>
                  <w:marBottom w:val="0"/>
                  <w:divBdr>
                    <w:top w:val="none" w:sz="0" w:space="0" w:color="auto"/>
                    <w:left w:val="none" w:sz="0" w:space="0" w:color="auto"/>
                    <w:bottom w:val="none" w:sz="0" w:space="0" w:color="auto"/>
                    <w:right w:val="none" w:sz="0" w:space="0" w:color="auto"/>
                  </w:divBdr>
                </w:div>
                <w:div w:id="587735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265700">
          <w:marLeft w:val="0"/>
          <w:marRight w:val="0"/>
          <w:marTop w:val="15"/>
          <w:marBottom w:val="0"/>
          <w:divBdr>
            <w:top w:val="none" w:sz="0" w:space="0" w:color="auto"/>
            <w:left w:val="none" w:sz="0" w:space="0" w:color="auto"/>
            <w:bottom w:val="none" w:sz="0" w:space="0" w:color="auto"/>
            <w:right w:val="none" w:sz="0" w:space="0" w:color="auto"/>
          </w:divBdr>
        </w:div>
      </w:divsChild>
    </w:div>
    <w:div w:id="162665344">
      <w:bodyDiv w:val="1"/>
      <w:marLeft w:val="0"/>
      <w:marRight w:val="0"/>
      <w:marTop w:val="0"/>
      <w:marBottom w:val="0"/>
      <w:divBdr>
        <w:top w:val="none" w:sz="0" w:space="0" w:color="auto"/>
        <w:left w:val="none" w:sz="0" w:space="0" w:color="auto"/>
        <w:bottom w:val="none" w:sz="0" w:space="0" w:color="auto"/>
        <w:right w:val="none" w:sz="0" w:space="0" w:color="auto"/>
      </w:divBdr>
    </w:div>
    <w:div w:id="204945766">
      <w:bodyDiv w:val="1"/>
      <w:marLeft w:val="0"/>
      <w:marRight w:val="0"/>
      <w:marTop w:val="0"/>
      <w:marBottom w:val="0"/>
      <w:divBdr>
        <w:top w:val="none" w:sz="0" w:space="0" w:color="auto"/>
        <w:left w:val="none" w:sz="0" w:space="0" w:color="auto"/>
        <w:bottom w:val="none" w:sz="0" w:space="0" w:color="auto"/>
        <w:right w:val="none" w:sz="0" w:space="0" w:color="auto"/>
      </w:divBdr>
      <w:divsChild>
        <w:div w:id="602539174">
          <w:marLeft w:val="0"/>
          <w:marRight w:val="0"/>
          <w:marTop w:val="0"/>
          <w:marBottom w:val="0"/>
          <w:divBdr>
            <w:top w:val="none" w:sz="0" w:space="0" w:color="auto"/>
            <w:left w:val="none" w:sz="0" w:space="0" w:color="auto"/>
            <w:bottom w:val="none" w:sz="0" w:space="0" w:color="auto"/>
            <w:right w:val="none" w:sz="0" w:space="0" w:color="auto"/>
          </w:divBdr>
        </w:div>
        <w:div w:id="1863351256">
          <w:marLeft w:val="0"/>
          <w:marRight w:val="0"/>
          <w:marTop w:val="0"/>
          <w:marBottom w:val="0"/>
          <w:divBdr>
            <w:top w:val="none" w:sz="0" w:space="0" w:color="auto"/>
            <w:left w:val="none" w:sz="0" w:space="0" w:color="auto"/>
            <w:bottom w:val="none" w:sz="0" w:space="0" w:color="auto"/>
            <w:right w:val="none" w:sz="0" w:space="0" w:color="auto"/>
          </w:divBdr>
        </w:div>
        <w:div w:id="769084235">
          <w:marLeft w:val="0"/>
          <w:marRight w:val="0"/>
          <w:marTop w:val="0"/>
          <w:marBottom w:val="0"/>
          <w:divBdr>
            <w:top w:val="none" w:sz="0" w:space="0" w:color="auto"/>
            <w:left w:val="none" w:sz="0" w:space="0" w:color="auto"/>
            <w:bottom w:val="none" w:sz="0" w:space="0" w:color="auto"/>
            <w:right w:val="none" w:sz="0" w:space="0" w:color="auto"/>
          </w:divBdr>
        </w:div>
        <w:div w:id="330764218">
          <w:marLeft w:val="0"/>
          <w:marRight w:val="0"/>
          <w:marTop w:val="0"/>
          <w:marBottom w:val="0"/>
          <w:divBdr>
            <w:top w:val="none" w:sz="0" w:space="0" w:color="auto"/>
            <w:left w:val="none" w:sz="0" w:space="0" w:color="auto"/>
            <w:bottom w:val="none" w:sz="0" w:space="0" w:color="auto"/>
            <w:right w:val="none" w:sz="0" w:space="0" w:color="auto"/>
          </w:divBdr>
        </w:div>
        <w:div w:id="1505851616">
          <w:marLeft w:val="0"/>
          <w:marRight w:val="0"/>
          <w:marTop w:val="0"/>
          <w:marBottom w:val="0"/>
          <w:divBdr>
            <w:top w:val="none" w:sz="0" w:space="0" w:color="auto"/>
            <w:left w:val="none" w:sz="0" w:space="0" w:color="auto"/>
            <w:bottom w:val="none" w:sz="0" w:space="0" w:color="auto"/>
            <w:right w:val="none" w:sz="0" w:space="0" w:color="auto"/>
          </w:divBdr>
        </w:div>
        <w:div w:id="1217663443">
          <w:marLeft w:val="0"/>
          <w:marRight w:val="0"/>
          <w:marTop w:val="0"/>
          <w:marBottom w:val="0"/>
          <w:divBdr>
            <w:top w:val="none" w:sz="0" w:space="0" w:color="auto"/>
            <w:left w:val="none" w:sz="0" w:space="0" w:color="auto"/>
            <w:bottom w:val="none" w:sz="0" w:space="0" w:color="auto"/>
            <w:right w:val="none" w:sz="0" w:space="0" w:color="auto"/>
          </w:divBdr>
        </w:div>
        <w:div w:id="1414425936">
          <w:marLeft w:val="0"/>
          <w:marRight w:val="0"/>
          <w:marTop w:val="0"/>
          <w:marBottom w:val="0"/>
          <w:divBdr>
            <w:top w:val="none" w:sz="0" w:space="0" w:color="auto"/>
            <w:left w:val="none" w:sz="0" w:space="0" w:color="auto"/>
            <w:bottom w:val="none" w:sz="0" w:space="0" w:color="auto"/>
            <w:right w:val="none" w:sz="0" w:space="0" w:color="auto"/>
          </w:divBdr>
        </w:div>
        <w:div w:id="1035929514">
          <w:marLeft w:val="0"/>
          <w:marRight w:val="0"/>
          <w:marTop w:val="0"/>
          <w:marBottom w:val="0"/>
          <w:divBdr>
            <w:top w:val="none" w:sz="0" w:space="0" w:color="auto"/>
            <w:left w:val="none" w:sz="0" w:space="0" w:color="auto"/>
            <w:bottom w:val="none" w:sz="0" w:space="0" w:color="auto"/>
            <w:right w:val="none" w:sz="0" w:space="0" w:color="auto"/>
          </w:divBdr>
        </w:div>
      </w:divsChild>
    </w:div>
    <w:div w:id="234509901">
      <w:bodyDiv w:val="1"/>
      <w:marLeft w:val="0"/>
      <w:marRight w:val="0"/>
      <w:marTop w:val="0"/>
      <w:marBottom w:val="0"/>
      <w:divBdr>
        <w:top w:val="none" w:sz="0" w:space="0" w:color="auto"/>
        <w:left w:val="none" w:sz="0" w:space="0" w:color="auto"/>
        <w:bottom w:val="none" w:sz="0" w:space="0" w:color="auto"/>
        <w:right w:val="none" w:sz="0" w:space="0" w:color="auto"/>
      </w:divBdr>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0426910">
      <w:bodyDiv w:val="1"/>
      <w:marLeft w:val="0"/>
      <w:marRight w:val="0"/>
      <w:marTop w:val="0"/>
      <w:marBottom w:val="0"/>
      <w:divBdr>
        <w:top w:val="none" w:sz="0" w:space="0" w:color="auto"/>
        <w:left w:val="none" w:sz="0" w:space="0" w:color="auto"/>
        <w:bottom w:val="none" w:sz="0" w:space="0" w:color="auto"/>
        <w:right w:val="none" w:sz="0" w:space="0" w:color="auto"/>
      </w:divBdr>
    </w:div>
    <w:div w:id="307974856">
      <w:bodyDiv w:val="1"/>
      <w:marLeft w:val="0"/>
      <w:marRight w:val="0"/>
      <w:marTop w:val="0"/>
      <w:marBottom w:val="0"/>
      <w:divBdr>
        <w:top w:val="none" w:sz="0" w:space="0" w:color="auto"/>
        <w:left w:val="none" w:sz="0" w:space="0" w:color="auto"/>
        <w:bottom w:val="none" w:sz="0" w:space="0" w:color="auto"/>
        <w:right w:val="none" w:sz="0" w:space="0" w:color="auto"/>
      </w:divBdr>
      <w:divsChild>
        <w:div w:id="605888838">
          <w:marLeft w:val="0"/>
          <w:marRight w:val="0"/>
          <w:marTop w:val="0"/>
          <w:marBottom w:val="0"/>
          <w:divBdr>
            <w:top w:val="none" w:sz="0" w:space="0" w:color="auto"/>
            <w:left w:val="none" w:sz="0" w:space="0" w:color="auto"/>
            <w:bottom w:val="none" w:sz="0" w:space="0" w:color="auto"/>
            <w:right w:val="none" w:sz="0" w:space="0" w:color="auto"/>
          </w:divBdr>
          <w:divsChild>
            <w:div w:id="655229349">
              <w:marLeft w:val="0"/>
              <w:marRight w:val="0"/>
              <w:marTop w:val="0"/>
              <w:marBottom w:val="0"/>
              <w:divBdr>
                <w:top w:val="none" w:sz="0" w:space="0" w:color="auto"/>
                <w:left w:val="none" w:sz="0" w:space="0" w:color="auto"/>
                <w:bottom w:val="none" w:sz="0" w:space="0" w:color="auto"/>
                <w:right w:val="none" w:sz="0" w:space="0" w:color="auto"/>
              </w:divBdr>
              <w:divsChild>
                <w:div w:id="188975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260527">
      <w:bodyDiv w:val="1"/>
      <w:marLeft w:val="0"/>
      <w:marRight w:val="0"/>
      <w:marTop w:val="0"/>
      <w:marBottom w:val="0"/>
      <w:divBdr>
        <w:top w:val="none" w:sz="0" w:space="0" w:color="auto"/>
        <w:left w:val="none" w:sz="0" w:space="0" w:color="auto"/>
        <w:bottom w:val="none" w:sz="0" w:space="0" w:color="auto"/>
        <w:right w:val="none" w:sz="0" w:space="0" w:color="auto"/>
      </w:divBdr>
      <w:divsChild>
        <w:div w:id="218562891">
          <w:marLeft w:val="0"/>
          <w:marRight w:val="0"/>
          <w:marTop w:val="0"/>
          <w:marBottom w:val="0"/>
          <w:divBdr>
            <w:top w:val="none" w:sz="0" w:space="0" w:color="auto"/>
            <w:left w:val="none" w:sz="0" w:space="0" w:color="auto"/>
            <w:bottom w:val="none" w:sz="0" w:space="0" w:color="auto"/>
            <w:right w:val="none" w:sz="0" w:space="0" w:color="auto"/>
          </w:divBdr>
        </w:div>
        <w:div w:id="465973504">
          <w:marLeft w:val="0"/>
          <w:marRight w:val="0"/>
          <w:marTop w:val="0"/>
          <w:marBottom w:val="0"/>
          <w:divBdr>
            <w:top w:val="none" w:sz="0" w:space="0" w:color="auto"/>
            <w:left w:val="none" w:sz="0" w:space="0" w:color="auto"/>
            <w:bottom w:val="none" w:sz="0" w:space="0" w:color="auto"/>
            <w:right w:val="none" w:sz="0" w:space="0" w:color="auto"/>
          </w:divBdr>
        </w:div>
        <w:div w:id="1697805187">
          <w:marLeft w:val="0"/>
          <w:marRight w:val="0"/>
          <w:marTop w:val="0"/>
          <w:marBottom w:val="0"/>
          <w:divBdr>
            <w:top w:val="none" w:sz="0" w:space="0" w:color="auto"/>
            <w:left w:val="none" w:sz="0" w:space="0" w:color="auto"/>
            <w:bottom w:val="none" w:sz="0" w:space="0" w:color="auto"/>
            <w:right w:val="none" w:sz="0" w:space="0" w:color="auto"/>
          </w:divBdr>
        </w:div>
      </w:divsChild>
    </w:div>
    <w:div w:id="320431951">
      <w:bodyDiv w:val="1"/>
      <w:marLeft w:val="0"/>
      <w:marRight w:val="0"/>
      <w:marTop w:val="0"/>
      <w:marBottom w:val="0"/>
      <w:divBdr>
        <w:top w:val="none" w:sz="0" w:space="0" w:color="auto"/>
        <w:left w:val="none" w:sz="0" w:space="0" w:color="auto"/>
        <w:bottom w:val="none" w:sz="0" w:space="0" w:color="auto"/>
        <w:right w:val="none" w:sz="0" w:space="0" w:color="auto"/>
      </w:divBdr>
      <w:divsChild>
        <w:div w:id="581838442">
          <w:marLeft w:val="0"/>
          <w:marRight w:val="0"/>
          <w:marTop w:val="0"/>
          <w:marBottom w:val="0"/>
          <w:divBdr>
            <w:top w:val="none" w:sz="0" w:space="0" w:color="auto"/>
            <w:left w:val="none" w:sz="0" w:space="0" w:color="auto"/>
            <w:bottom w:val="none" w:sz="0" w:space="0" w:color="auto"/>
            <w:right w:val="none" w:sz="0" w:space="0" w:color="auto"/>
          </w:divBdr>
        </w:div>
        <w:div w:id="1100415805">
          <w:marLeft w:val="0"/>
          <w:marRight w:val="0"/>
          <w:marTop w:val="0"/>
          <w:marBottom w:val="0"/>
          <w:divBdr>
            <w:top w:val="none" w:sz="0" w:space="0" w:color="auto"/>
            <w:left w:val="none" w:sz="0" w:space="0" w:color="auto"/>
            <w:bottom w:val="none" w:sz="0" w:space="0" w:color="auto"/>
            <w:right w:val="none" w:sz="0" w:space="0" w:color="auto"/>
          </w:divBdr>
        </w:div>
        <w:div w:id="850031264">
          <w:marLeft w:val="0"/>
          <w:marRight w:val="0"/>
          <w:marTop w:val="0"/>
          <w:marBottom w:val="0"/>
          <w:divBdr>
            <w:top w:val="none" w:sz="0" w:space="0" w:color="auto"/>
            <w:left w:val="none" w:sz="0" w:space="0" w:color="auto"/>
            <w:bottom w:val="none" w:sz="0" w:space="0" w:color="auto"/>
            <w:right w:val="none" w:sz="0" w:space="0" w:color="auto"/>
          </w:divBdr>
        </w:div>
        <w:div w:id="123889932">
          <w:marLeft w:val="0"/>
          <w:marRight w:val="0"/>
          <w:marTop w:val="0"/>
          <w:marBottom w:val="0"/>
          <w:divBdr>
            <w:top w:val="none" w:sz="0" w:space="0" w:color="auto"/>
            <w:left w:val="none" w:sz="0" w:space="0" w:color="auto"/>
            <w:bottom w:val="none" w:sz="0" w:space="0" w:color="auto"/>
            <w:right w:val="none" w:sz="0" w:space="0" w:color="auto"/>
          </w:divBdr>
        </w:div>
      </w:divsChild>
    </w:div>
    <w:div w:id="338192950">
      <w:bodyDiv w:val="1"/>
      <w:marLeft w:val="0"/>
      <w:marRight w:val="0"/>
      <w:marTop w:val="0"/>
      <w:marBottom w:val="0"/>
      <w:divBdr>
        <w:top w:val="none" w:sz="0" w:space="0" w:color="auto"/>
        <w:left w:val="none" w:sz="0" w:space="0" w:color="auto"/>
        <w:bottom w:val="none" w:sz="0" w:space="0" w:color="auto"/>
        <w:right w:val="none" w:sz="0" w:space="0" w:color="auto"/>
      </w:divBdr>
    </w:div>
    <w:div w:id="357512368">
      <w:bodyDiv w:val="1"/>
      <w:marLeft w:val="0"/>
      <w:marRight w:val="0"/>
      <w:marTop w:val="0"/>
      <w:marBottom w:val="0"/>
      <w:divBdr>
        <w:top w:val="none" w:sz="0" w:space="0" w:color="auto"/>
        <w:left w:val="none" w:sz="0" w:space="0" w:color="auto"/>
        <w:bottom w:val="none" w:sz="0" w:space="0" w:color="auto"/>
        <w:right w:val="none" w:sz="0" w:space="0" w:color="auto"/>
      </w:divBdr>
    </w:div>
    <w:div w:id="388847509">
      <w:bodyDiv w:val="1"/>
      <w:marLeft w:val="0"/>
      <w:marRight w:val="0"/>
      <w:marTop w:val="0"/>
      <w:marBottom w:val="0"/>
      <w:divBdr>
        <w:top w:val="none" w:sz="0" w:space="0" w:color="auto"/>
        <w:left w:val="none" w:sz="0" w:space="0" w:color="auto"/>
        <w:bottom w:val="none" w:sz="0" w:space="0" w:color="auto"/>
        <w:right w:val="none" w:sz="0" w:space="0" w:color="auto"/>
      </w:divBdr>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438483">
      <w:bodyDiv w:val="1"/>
      <w:marLeft w:val="0"/>
      <w:marRight w:val="0"/>
      <w:marTop w:val="0"/>
      <w:marBottom w:val="0"/>
      <w:divBdr>
        <w:top w:val="none" w:sz="0" w:space="0" w:color="auto"/>
        <w:left w:val="none" w:sz="0" w:space="0" w:color="auto"/>
        <w:bottom w:val="none" w:sz="0" w:space="0" w:color="auto"/>
        <w:right w:val="none" w:sz="0" w:space="0" w:color="auto"/>
      </w:divBdr>
      <w:divsChild>
        <w:div w:id="985813291">
          <w:marLeft w:val="0"/>
          <w:marRight w:val="0"/>
          <w:marTop w:val="15"/>
          <w:marBottom w:val="0"/>
          <w:divBdr>
            <w:top w:val="none" w:sz="0" w:space="0" w:color="auto"/>
            <w:left w:val="none" w:sz="0" w:space="0" w:color="auto"/>
            <w:bottom w:val="none" w:sz="0" w:space="0" w:color="auto"/>
            <w:right w:val="none" w:sz="0" w:space="0" w:color="auto"/>
          </w:divBdr>
          <w:divsChild>
            <w:div w:id="901717960">
              <w:marLeft w:val="0"/>
              <w:marRight w:val="0"/>
              <w:marTop w:val="0"/>
              <w:marBottom w:val="0"/>
              <w:divBdr>
                <w:top w:val="none" w:sz="0" w:space="0" w:color="auto"/>
                <w:left w:val="none" w:sz="0" w:space="0" w:color="auto"/>
                <w:bottom w:val="none" w:sz="0" w:space="0" w:color="auto"/>
                <w:right w:val="none" w:sz="0" w:space="0" w:color="auto"/>
              </w:divBdr>
              <w:divsChild>
                <w:div w:id="514729943">
                  <w:marLeft w:val="0"/>
                  <w:marRight w:val="0"/>
                  <w:marTop w:val="0"/>
                  <w:marBottom w:val="0"/>
                  <w:divBdr>
                    <w:top w:val="none" w:sz="0" w:space="0" w:color="auto"/>
                    <w:left w:val="none" w:sz="0" w:space="0" w:color="auto"/>
                    <w:bottom w:val="none" w:sz="0" w:space="0" w:color="auto"/>
                    <w:right w:val="none" w:sz="0" w:space="0" w:color="auto"/>
                  </w:divBdr>
                </w:div>
                <w:div w:id="22484488">
                  <w:marLeft w:val="0"/>
                  <w:marRight w:val="0"/>
                  <w:marTop w:val="0"/>
                  <w:marBottom w:val="0"/>
                  <w:divBdr>
                    <w:top w:val="none" w:sz="0" w:space="0" w:color="auto"/>
                    <w:left w:val="none" w:sz="0" w:space="0" w:color="auto"/>
                    <w:bottom w:val="none" w:sz="0" w:space="0" w:color="auto"/>
                    <w:right w:val="none" w:sz="0" w:space="0" w:color="auto"/>
                  </w:divBdr>
                </w:div>
                <w:div w:id="878519265">
                  <w:marLeft w:val="0"/>
                  <w:marRight w:val="0"/>
                  <w:marTop w:val="0"/>
                  <w:marBottom w:val="0"/>
                  <w:divBdr>
                    <w:top w:val="none" w:sz="0" w:space="0" w:color="auto"/>
                    <w:left w:val="none" w:sz="0" w:space="0" w:color="auto"/>
                    <w:bottom w:val="none" w:sz="0" w:space="0" w:color="auto"/>
                    <w:right w:val="none" w:sz="0" w:space="0" w:color="auto"/>
                  </w:divBdr>
                </w:div>
                <w:div w:id="1930766964">
                  <w:marLeft w:val="0"/>
                  <w:marRight w:val="0"/>
                  <w:marTop w:val="0"/>
                  <w:marBottom w:val="0"/>
                  <w:divBdr>
                    <w:top w:val="none" w:sz="0" w:space="0" w:color="auto"/>
                    <w:left w:val="none" w:sz="0" w:space="0" w:color="auto"/>
                    <w:bottom w:val="none" w:sz="0" w:space="0" w:color="auto"/>
                    <w:right w:val="none" w:sz="0" w:space="0" w:color="auto"/>
                  </w:divBdr>
                </w:div>
                <w:div w:id="1186676721">
                  <w:marLeft w:val="0"/>
                  <w:marRight w:val="0"/>
                  <w:marTop w:val="0"/>
                  <w:marBottom w:val="0"/>
                  <w:divBdr>
                    <w:top w:val="none" w:sz="0" w:space="0" w:color="auto"/>
                    <w:left w:val="none" w:sz="0" w:space="0" w:color="auto"/>
                    <w:bottom w:val="none" w:sz="0" w:space="0" w:color="auto"/>
                    <w:right w:val="none" w:sz="0" w:space="0" w:color="auto"/>
                  </w:divBdr>
                </w:div>
                <w:div w:id="295331600">
                  <w:marLeft w:val="0"/>
                  <w:marRight w:val="0"/>
                  <w:marTop w:val="0"/>
                  <w:marBottom w:val="0"/>
                  <w:divBdr>
                    <w:top w:val="none" w:sz="0" w:space="0" w:color="auto"/>
                    <w:left w:val="none" w:sz="0" w:space="0" w:color="auto"/>
                    <w:bottom w:val="none" w:sz="0" w:space="0" w:color="auto"/>
                    <w:right w:val="none" w:sz="0" w:space="0" w:color="auto"/>
                  </w:divBdr>
                </w:div>
                <w:div w:id="1753618944">
                  <w:marLeft w:val="0"/>
                  <w:marRight w:val="0"/>
                  <w:marTop w:val="0"/>
                  <w:marBottom w:val="0"/>
                  <w:divBdr>
                    <w:top w:val="none" w:sz="0" w:space="0" w:color="auto"/>
                    <w:left w:val="none" w:sz="0" w:space="0" w:color="auto"/>
                    <w:bottom w:val="none" w:sz="0" w:space="0" w:color="auto"/>
                    <w:right w:val="none" w:sz="0" w:space="0" w:color="auto"/>
                  </w:divBdr>
                </w:div>
                <w:div w:id="88354124">
                  <w:marLeft w:val="0"/>
                  <w:marRight w:val="0"/>
                  <w:marTop w:val="0"/>
                  <w:marBottom w:val="0"/>
                  <w:divBdr>
                    <w:top w:val="none" w:sz="0" w:space="0" w:color="auto"/>
                    <w:left w:val="none" w:sz="0" w:space="0" w:color="auto"/>
                    <w:bottom w:val="none" w:sz="0" w:space="0" w:color="auto"/>
                    <w:right w:val="none" w:sz="0" w:space="0" w:color="auto"/>
                  </w:divBdr>
                </w:div>
                <w:div w:id="1166438216">
                  <w:marLeft w:val="0"/>
                  <w:marRight w:val="0"/>
                  <w:marTop w:val="0"/>
                  <w:marBottom w:val="0"/>
                  <w:divBdr>
                    <w:top w:val="none" w:sz="0" w:space="0" w:color="auto"/>
                    <w:left w:val="none" w:sz="0" w:space="0" w:color="auto"/>
                    <w:bottom w:val="none" w:sz="0" w:space="0" w:color="auto"/>
                    <w:right w:val="none" w:sz="0" w:space="0" w:color="auto"/>
                  </w:divBdr>
                </w:div>
                <w:div w:id="1467242323">
                  <w:marLeft w:val="0"/>
                  <w:marRight w:val="0"/>
                  <w:marTop w:val="0"/>
                  <w:marBottom w:val="0"/>
                  <w:divBdr>
                    <w:top w:val="none" w:sz="0" w:space="0" w:color="auto"/>
                    <w:left w:val="none" w:sz="0" w:space="0" w:color="auto"/>
                    <w:bottom w:val="none" w:sz="0" w:space="0" w:color="auto"/>
                    <w:right w:val="none" w:sz="0" w:space="0" w:color="auto"/>
                  </w:divBdr>
                </w:div>
                <w:div w:id="503328490">
                  <w:marLeft w:val="0"/>
                  <w:marRight w:val="0"/>
                  <w:marTop w:val="0"/>
                  <w:marBottom w:val="0"/>
                  <w:divBdr>
                    <w:top w:val="none" w:sz="0" w:space="0" w:color="auto"/>
                    <w:left w:val="none" w:sz="0" w:space="0" w:color="auto"/>
                    <w:bottom w:val="none" w:sz="0" w:space="0" w:color="auto"/>
                    <w:right w:val="none" w:sz="0" w:space="0" w:color="auto"/>
                  </w:divBdr>
                </w:div>
                <w:div w:id="1332756126">
                  <w:marLeft w:val="0"/>
                  <w:marRight w:val="0"/>
                  <w:marTop w:val="0"/>
                  <w:marBottom w:val="0"/>
                  <w:divBdr>
                    <w:top w:val="none" w:sz="0" w:space="0" w:color="auto"/>
                    <w:left w:val="none" w:sz="0" w:space="0" w:color="auto"/>
                    <w:bottom w:val="none" w:sz="0" w:space="0" w:color="auto"/>
                    <w:right w:val="none" w:sz="0" w:space="0" w:color="auto"/>
                  </w:divBdr>
                </w:div>
                <w:div w:id="1163886337">
                  <w:marLeft w:val="0"/>
                  <w:marRight w:val="0"/>
                  <w:marTop w:val="0"/>
                  <w:marBottom w:val="0"/>
                  <w:divBdr>
                    <w:top w:val="none" w:sz="0" w:space="0" w:color="auto"/>
                    <w:left w:val="none" w:sz="0" w:space="0" w:color="auto"/>
                    <w:bottom w:val="none" w:sz="0" w:space="0" w:color="auto"/>
                    <w:right w:val="none" w:sz="0" w:space="0" w:color="auto"/>
                  </w:divBdr>
                </w:div>
                <w:div w:id="2129469859">
                  <w:marLeft w:val="0"/>
                  <w:marRight w:val="0"/>
                  <w:marTop w:val="0"/>
                  <w:marBottom w:val="0"/>
                  <w:divBdr>
                    <w:top w:val="none" w:sz="0" w:space="0" w:color="auto"/>
                    <w:left w:val="none" w:sz="0" w:space="0" w:color="auto"/>
                    <w:bottom w:val="none" w:sz="0" w:space="0" w:color="auto"/>
                    <w:right w:val="none" w:sz="0" w:space="0" w:color="auto"/>
                  </w:divBdr>
                </w:div>
                <w:div w:id="208539625">
                  <w:marLeft w:val="0"/>
                  <w:marRight w:val="0"/>
                  <w:marTop w:val="0"/>
                  <w:marBottom w:val="0"/>
                  <w:divBdr>
                    <w:top w:val="none" w:sz="0" w:space="0" w:color="auto"/>
                    <w:left w:val="none" w:sz="0" w:space="0" w:color="auto"/>
                    <w:bottom w:val="none" w:sz="0" w:space="0" w:color="auto"/>
                    <w:right w:val="none" w:sz="0" w:space="0" w:color="auto"/>
                  </w:divBdr>
                </w:div>
                <w:div w:id="1920171625">
                  <w:marLeft w:val="0"/>
                  <w:marRight w:val="0"/>
                  <w:marTop w:val="0"/>
                  <w:marBottom w:val="0"/>
                  <w:divBdr>
                    <w:top w:val="none" w:sz="0" w:space="0" w:color="auto"/>
                    <w:left w:val="none" w:sz="0" w:space="0" w:color="auto"/>
                    <w:bottom w:val="none" w:sz="0" w:space="0" w:color="auto"/>
                    <w:right w:val="none" w:sz="0" w:space="0" w:color="auto"/>
                  </w:divBdr>
                </w:div>
                <w:div w:id="785004594">
                  <w:marLeft w:val="0"/>
                  <w:marRight w:val="0"/>
                  <w:marTop w:val="0"/>
                  <w:marBottom w:val="0"/>
                  <w:divBdr>
                    <w:top w:val="none" w:sz="0" w:space="0" w:color="auto"/>
                    <w:left w:val="none" w:sz="0" w:space="0" w:color="auto"/>
                    <w:bottom w:val="none" w:sz="0" w:space="0" w:color="auto"/>
                    <w:right w:val="none" w:sz="0" w:space="0" w:color="auto"/>
                  </w:divBdr>
                </w:div>
                <w:div w:id="1713576685">
                  <w:marLeft w:val="0"/>
                  <w:marRight w:val="0"/>
                  <w:marTop w:val="0"/>
                  <w:marBottom w:val="0"/>
                  <w:divBdr>
                    <w:top w:val="none" w:sz="0" w:space="0" w:color="auto"/>
                    <w:left w:val="none" w:sz="0" w:space="0" w:color="auto"/>
                    <w:bottom w:val="none" w:sz="0" w:space="0" w:color="auto"/>
                    <w:right w:val="none" w:sz="0" w:space="0" w:color="auto"/>
                  </w:divBdr>
                </w:div>
                <w:div w:id="196890567">
                  <w:marLeft w:val="0"/>
                  <w:marRight w:val="0"/>
                  <w:marTop w:val="0"/>
                  <w:marBottom w:val="0"/>
                  <w:divBdr>
                    <w:top w:val="none" w:sz="0" w:space="0" w:color="auto"/>
                    <w:left w:val="none" w:sz="0" w:space="0" w:color="auto"/>
                    <w:bottom w:val="none" w:sz="0" w:space="0" w:color="auto"/>
                    <w:right w:val="none" w:sz="0" w:space="0" w:color="auto"/>
                  </w:divBdr>
                </w:div>
                <w:div w:id="409472005">
                  <w:marLeft w:val="0"/>
                  <w:marRight w:val="0"/>
                  <w:marTop w:val="0"/>
                  <w:marBottom w:val="0"/>
                  <w:divBdr>
                    <w:top w:val="none" w:sz="0" w:space="0" w:color="auto"/>
                    <w:left w:val="none" w:sz="0" w:space="0" w:color="auto"/>
                    <w:bottom w:val="none" w:sz="0" w:space="0" w:color="auto"/>
                    <w:right w:val="none" w:sz="0" w:space="0" w:color="auto"/>
                  </w:divBdr>
                </w:div>
                <w:div w:id="519709907">
                  <w:marLeft w:val="0"/>
                  <w:marRight w:val="0"/>
                  <w:marTop w:val="0"/>
                  <w:marBottom w:val="0"/>
                  <w:divBdr>
                    <w:top w:val="none" w:sz="0" w:space="0" w:color="auto"/>
                    <w:left w:val="none" w:sz="0" w:space="0" w:color="auto"/>
                    <w:bottom w:val="none" w:sz="0" w:space="0" w:color="auto"/>
                    <w:right w:val="none" w:sz="0" w:space="0" w:color="auto"/>
                  </w:divBdr>
                </w:div>
                <w:div w:id="1080106041">
                  <w:marLeft w:val="0"/>
                  <w:marRight w:val="0"/>
                  <w:marTop w:val="0"/>
                  <w:marBottom w:val="0"/>
                  <w:divBdr>
                    <w:top w:val="none" w:sz="0" w:space="0" w:color="auto"/>
                    <w:left w:val="none" w:sz="0" w:space="0" w:color="auto"/>
                    <w:bottom w:val="none" w:sz="0" w:space="0" w:color="auto"/>
                    <w:right w:val="none" w:sz="0" w:space="0" w:color="auto"/>
                  </w:divBdr>
                </w:div>
                <w:div w:id="1430462569">
                  <w:marLeft w:val="0"/>
                  <w:marRight w:val="0"/>
                  <w:marTop w:val="0"/>
                  <w:marBottom w:val="0"/>
                  <w:divBdr>
                    <w:top w:val="none" w:sz="0" w:space="0" w:color="auto"/>
                    <w:left w:val="none" w:sz="0" w:space="0" w:color="auto"/>
                    <w:bottom w:val="none" w:sz="0" w:space="0" w:color="auto"/>
                    <w:right w:val="none" w:sz="0" w:space="0" w:color="auto"/>
                  </w:divBdr>
                </w:div>
                <w:div w:id="1741975420">
                  <w:marLeft w:val="0"/>
                  <w:marRight w:val="0"/>
                  <w:marTop w:val="0"/>
                  <w:marBottom w:val="0"/>
                  <w:divBdr>
                    <w:top w:val="none" w:sz="0" w:space="0" w:color="auto"/>
                    <w:left w:val="none" w:sz="0" w:space="0" w:color="auto"/>
                    <w:bottom w:val="none" w:sz="0" w:space="0" w:color="auto"/>
                    <w:right w:val="none" w:sz="0" w:space="0" w:color="auto"/>
                  </w:divBdr>
                </w:div>
                <w:div w:id="158153318">
                  <w:marLeft w:val="0"/>
                  <w:marRight w:val="0"/>
                  <w:marTop w:val="0"/>
                  <w:marBottom w:val="0"/>
                  <w:divBdr>
                    <w:top w:val="none" w:sz="0" w:space="0" w:color="auto"/>
                    <w:left w:val="none" w:sz="0" w:space="0" w:color="auto"/>
                    <w:bottom w:val="none" w:sz="0" w:space="0" w:color="auto"/>
                    <w:right w:val="none" w:sz="0" w:space="0" w:color="auto"/>
                  </w:divBdr>
                </w:div>
                <w:div w:id="2085491157">
                  <w:marLeft w:val="0"/>
                  <w:marRight w:val="0"/>
                  <w:marTop w:val="0"/>
                  <w:marBottom w:val="0"/>
                  <w:divBdr>
                    <w:top w:val="none" w:sz="0" w:space="0" w:color="auto"/>
                    <w:left w:val="none" w:sz="0" w:space="0" w:color="auto"/>
                    <w:bottom w:val="none" w:sz="0" w:space="0" w:color="auto"/>
                    <w:right w:val="none" w:sz="0" w:space="0" w:color="auto"/>
                  </w:divBdr>
                </w:div>
                <w:div w:id="511340120">
                  <w:marLeft w:val="0"/>
                  <w:marRight w:val="0"/>
                  <w:marTop w:val="0"/>
                  <w:marBottom w:val="0"/>
                  <w:divBdr>
                    <w:top w:val="none" w:sz="0" w:space="0" w:color="auto"/>
                    <w:left w:val="none" w:sz="0" w:space="0" w:color="auto"/>
                    <w:bottom w:val="none" w:sz="0" w:space="0" w:color="auto"/>
                    <w:right w:val="none" w:sz="0" w:space="0" w:color="auto"/>
                  </w:divBdr>
                </w:div>
                <w:div w:id="1372879502">
                  <w:marLeft w:val="0"/>
                  <w:marRight w:val="0"/>
                  <w:marTop w:val="0"/>
                  <w:marBottom w:val="0"/>
                  <w:divBdr>
                    <w:top w:val="none" w:sz="0" w:space="0" w:color="auto"/>
                    <w:left w:val="none" w:sz="0" w:space="0" w:color="auto"/>
                    <w:bottom w:val="none" w:sz="0" w:space="0" w:color="auto"/>
                    <w:right w:val="none" w:sz="0" w:space="0" w:color="auto"/>
                  </w:divBdr>
                </w:div>
                <w:div w:id="1274822166">
                  <w:marLeft w:val="0"/>
                  <w:marRight w:val="0"/>
                  <w:marTop w:val="0"/>
                  <w:marBottom w:val="0"/>
                  <w:divBdr>
                    <w:top w:val="none" w:sz="0" w:space="0" w:color="auto"/>
                    <w:left w:val="none" w:sz="0" w:space="0" w:color="auto"/>
                    <w:bottom w:val="none" w:sz="0" w:space="0" w:color="auto"/>
                    <w:right w:val="none" w:sz="0" w:space="0" w:color="auto"/>
                  </w:divBdr>
                </w:div>
                <w:div w:id="1831172410">
                  <w:marLeft w:val="0"/>
                  <w:marRight w:val="0"/>
                  <w:marTop w:val="0"/>
                  <w:marBottom w:val="0"/>
                  <w:divBdr>
                    <w:top w:val="none" w:sz="0" w:space="0" w:color="auto"/>
                    <w:left w:val="none" w:sz="0" w:space="0" w:color="auto"/>
                    <w:bottom w:val="none" w:sz="0" w:space="0" w:color="auto"/>
                    <w:right w:val="none" w:sz="0" w:space="0" w:color="auto"/>
                  </w:divBdr>
                </w:div>
                <w:div w:id="1584484368">
                  <w:marLeft w:val="0"/>
                  <w:marRight w:val="0"/>
                  <w:marTop w:val="0"/>
                  <w:marBottom w:val="0"/>
                  <w:divBdr>
                    <w:top w:val="none" w:sz="0" w:space="0" w:color="auto"/>
                    <w:left w:val="none" w:sz="0" w:space="0" w:color="auto"/>
                    <w:bottom w:val="none" w:sz="0" w:space="0" w:color="auto"/>
                    <w:right w:val="none" w:sz="0" w:space="0" w:color="auto"/>
                  </w:divBdr>
                </w:div>
                <w:div w:id="350037790">
                  <w:marLeft w:val="0"/>
                  <w:marRight w:val="0"/>
                  <w:marTop w:val="0"/>
                  <w:marBottom w:val="0"/>
                  <w:divBdr>
                    <w:top w:val="none" w:sz="0" w:space="0" w:color="auto"/>
                    <w:left w:val="none" w:sz="0" w:space="0" w:color="auto"/>
                    <w:bottom w:val="none" w:sz="0" w:space="0" w:color="auto"/>
                    <w:right w:val="none" w:sz="0" w:space="0" w:color="auto"/>
                  </w:divBdr>
                </w:div>
                <w:div w:id="956528895">
                  <w:marLeft w:val="0"/>
                  <w:marRight w:val="0"/>
                  <w:marTop w:val="0"/>
                  <w:marBottom w:val="0"/>
                  <w:divBdr>
                    <w:top w:val="none" w:sz="0" w:space="0" w:color="auto"/>
                    <w:left w:val="none" w:sz="0" w:space="0" w:color="auto"/>
                    <w:bottom w:val="none" w:sz="0" w:space="0" w:color="auto"/>
                    <w:right w:val="none" w:sz="0" w:space="0" w:color="auto"/>
                  </w:divBdr>
                </w:div>
                <w:div w:id="1745107823">
                  <w:marLeft w:val="0"/>
                  <w:marRight w:val="0"/>
                  <w:marTop w:val="0"/>
                  <w:marBottom w:val="0"/>
                  <w:divBdr>
                    <w:top w:val="none" w:sz="0" w:space="0" w:color="auto"/>
                    <w:left w:val="none" w:sz="0" w:space="0" w:color="auto"/>
                    <w:bottom w:val="none" w:sz="0" w:space="0" w:color="auto"/>
                    <w:right w:val="none" w:sz="0" w:space="0" w:color="auto"/>
                  </w:divBdr>
                </w:div>
                <w:div w:id="990643001">
                  <w:marLeft w:val="0"/>
                  <w:marRight w:val="0"/>
                  <w:marTop w:val="0"/>
                  <w:marBottom w:val="0"/>
                  <w:divBdr>
                    <w:top w:val="none" w:sz="0" w:space="0" w:color="auto"/>
                    <w:left w:val="none" w:sz="0" w:space="0" w:color="auto"/>
                    <w:bottom w:val="none" w:sz="0" w:space="0" w:color="auto"/>
                    <w:right w:val="none" w:sz="0" w:space="0" w:color="auto"/>
                  </w:divBdr>
                </w:div>
                <w:div w:id="622465159">
                  <w:marLeft w:val="0"/>
                  <w:marRight w:val="0"/>
                  <w:marTop w:val="0"/>
                  <w:marBottom w:val="0"/>
                  <w:divBdr>
                    <w:top w:val="none" w:sz="0" w:space="0" w:color="auto"/>
                    <w:left w:val="none" w:sz="0" w:space="0" w:color="auto"/>
                    <w:bottom w:val="none" w:sz="0" w:space="0" w:color="auto"/>
                    <w:right w:val="none" w:sz="0" w:space="0" w:color="auto"/>
                  </w:divBdr>
                </w:div>
                <w:div w:id="136799370">
                  <w:marLeft w:val="0"/>
                  <w:marRight w:val="0"/>
                  <w:marTop w:val="0"/>
                  <w:marBottom w:val="0"/>
                  <w:divBdr>
                    <w:top w:val="none" w:sz="0" w:space="0" w:color="auto"/>
                    <w:left w:val="none" w:sz="0" w:space="0" w:color="auto"/>
                    <w:bottom w:val="none" w:sz="0" w:space="0" w:color="auto"/>
                    <w:right w:val="none" w:sz="0" w:space="0" w:color="auto"/>
                  </w:divBdr>
                </w:div>
                <w:div w:id="938559757">
                  <w:marLeft w:val="0"/>
                  <w:marRight w:val="0"/>
                  <w:marTop w:val="0"/>
                  <w:marBottom w:val="0"/>
                  <w:divBdr>
                    <w:top w:val="none" w:sz="0" w:space="0" w:color="auto"/>
                    <w:left w:val="none" w:sz="0" w:space="0" w:color="auto"/>
                    <w:bottom w:val="none" w:sz="0" w:space="0" w:color="auto"/>
                    <w:right w:val="none" w:sz="0" w:space="0" w:color="auto"/>
                  </w:divBdr>
                </w:div>
                <w:div w:id="366377543">
                  <w:marLeft w:val="0"/>
                  <w:marRight w:val="0"/>
                  <w:marTop w:val="0"/>
                  <w:marBottom w:val="0"/>
                  <w:divBdr>
                    <w:top w:val="none" w:sz="0" w:space="0" w:color="auto"/>
                    <w:left w:val="none" w:sz="0" w:space="0" w:color="auto"/>
                    <w:bottom w:val="none" w:sz="0" w:space="0" w:color="auto"/>
                    <w:right w:val="none" w:sz="0" w:space="0" w:color="auto"/>
                  </w:divBdr>
                </w:div>
                <w:div w:id="720904485">
                  <w:marLeft w:val="0"/>
                  <w:marRight w:val="0"/>
                  <w:marTop w:val="0"/>
                  <w:marBottom w:val="0"/>
                  <w:divBdr>
                    <w:top w:val="none" w:sz="0" w:space="0" w:color="auto"/>
                    <w:left w:val="none" w:sz="0" w:space="0" w:color="auto"/>
                    <w:bottom w:val="none" w:sz="0" w:space="0" w:color="auto"/>
                    <w:right w:val="none" w:sz="0" w:space="0" w:color="auto"/>
                  </w:divBdr>
                </w:div>
                <w:div w:id="586888494">
                  <w:marLeft w:val="0"/>
                  <w:marRight w:val="0"/>
                  <w:marTop w:val="0"/>
                  <w:marBottom w:val="0"/>
                  <w:divBdr>
                    <w:top w:val="none" w:sz="0" w:space="0" w:color="auto"/>
                    <w:left w:val="none" w:sz="0" w:space="0" w:color="auto"/>
                    <w:bottom w:val="none" w:sz="0" w:space="0" w:color="auto"/>
                    <w:right w:val="none" w:sz="0" w:space="0" w:color="auto"/>
                  </w:divBdr>
                </w:div>
                <w:div w:id="1260941612">
                  <w:marLeft w:val="0"/>
                  <w:marRight w:val="0"/>
                  <w:marTop w:val="0"/>
                  <w:marBottom w:val="0"/>
                  <w:divBdr>
                    <w:top w:val="none" w:sz="0" w:space="0" w:color="auto"/>
                    <w:left w:val="none" w:sz="0" w:space="0" w:color="auto"/>
                    <w:bottom w:val="none" w:sz="0" w:space="0" w:color="auto"/>
                    <w:right w:val="none" w:sz="0" w:space="0" w:color="auto"/>
                  </w:divBdr>
                </w:div>
                <w:div w:id="1401177912">
                  <w:marLeft w:val="0"/>
                  <w:marRight w:val="0"/>
                  <w:marTop w:val="0"/>
                  <w:marBottom w:val="0"/>
                  <w:divBdr>
                    <w:top w:val="none" w:sz="0" w:space="0" w:color="auto"/>
                    <w:left w:val="none" w:sz="0" w:space="0" w:color="auto"/>
                    <w:bottom w:val="none" w:sz="0" w:space="0" w:color="auto"/>
                    <w:right w:val="none" w:sz="0" w:space="0" w:color="auto"/>
                  </w:divBdr>
                </w:div>
                <w:div w:id="1213154624">
                  <w:marLeft w:val="0"/>
                  <w:marRight w:val="0"/>
                  <w:marTop w:val="0"/>
                  <w:marBottom w:val="0"/>
                  <w:divBdr>
                    <w:top w:val="none" w:sz="0" w:space="0" w:color="auto"/>
                    <w:left w:val="none" w:sz="0" w:space="0" w:color="auto"/>
                    <w:bottom w:val="none" w:sz="0" w:space="0" w:color="auto"/>
                    <w:right w:val="none" w:sz="0" w:space="0" w:color="auto"/>
                  </w:divBdr>
                </w:div>
                <w:div w:id="1426537878">
                  <w:marLeft w:val="0"/>
                  <w:marRight w:val="0"/>
                  <w:marTop w:val="0"/>
                  <w:marBottom w:val="0"/>
                  <w:divBdr>
                    <w:top w:val="none" w:sz="0" w:space="0" w:color="auto"/>
                    <w:left w:val="none" w:sz="0" w:space="0" w:color="auto"/>
                    <w:bottom w:val="none" w:sz="0" w:space="0" w:color="auto"/>
                    <w:right w:val="none" w:sz="0" w:space="0" w:color="auto"/>
                  </w:divBdr>
                </w:div>
                <w:div w:id="751314220">
                  <w:marLeft w:val="0"/>
                  <w:marRight w:val="0"/>
                  <w:marTop w:val="0"/>
                  <w:marBottom w:val="0"/>
                  <w:divBdr>
                    <w:top w:val="none" w:sz="0" w:space="0" w:color="auto"/>
                    <w:left w:val="none" w:sz="0" w:space="0" w:color="auto"/>
                    <w:bottom w:val="none" w:sz="0" w:space="0" w:color="auto"/>
                    <w:right w:val="none" w:sz="0" w:space="0" w:color="auto"/>
                  </w:divBdr>
                </w:div>
                <w:div w:id="201014043">
                  <w:marLeft w:val="0"/>
                  <w:marRight w:val="0"/>
                  <w:marTop w:val="0"/>
                  <w:marBottom w:val="0"/>
                  <w:divBdr>
                    <w:top w:val="none" w:sz="0" w:space="0" w:color="auto"/>
                    <w:left w:val="none" w:sz="0" w:space="0" w:color="auto"/>
                    <w:bottom w:val="none" w:sz="0" w:space="0" w:color="auto"/>
                    <w:right w:val="none" w:sz="0" w:space="0" w:color="auto"/>
                  </w:divBdr>
                </w:div>
                <w:div w:id="40402697">
                  <w:marLeft w:val="0"/>
                  <w:marRight w:val="0"/>
                  <w:marTop w:val="0"/>
                  <w:marBottom w:val="0"/>
                  <w:divBdr>
                    <w:top w:val="none" w:sz="0" w:space="0" w:color="auto"/>
                    <w:left w:val="none" w:sz="0" w:space="0" w:color="auto"/>
                    <w:bottom w:val="none" w:sz="0" w:space="0" w:color="auto"/>
                    <w:right w:val="none" w:sz="0" w:space="0" w:color="auto"/>
                  </w:divBdr>
                </w:div>
                <w:div w:id="575014532">
                  <w:marLeft w:val="0"/>
                  <w:marRight w:val="0"/>
                  <w:marTop w:val="0"/>
                  <w:marBottom w:val="0"/>
                  <w:divBdr>
                    <w:top w:val="none" w:sz="0" w:space="0" w:color="auto"/>
                    <w:left w:val="none" w:sz="0" w:space="0" w:color="auto"/>
                    <w:bottom w:val="none" w:sz="0" w:space="0" w:color="auto"/>
                    <w:right w:val="none" w:sz="0" w:space="0" w:color="auto"/>
                  </w:divBdr>
                </w:div>
                <w:div w:id="276104966">
                  <w:marLeft w:val="0"/>
                  <w:marRight w:val="0"/>
                  <w:marTop w:val="0"/>
                  <w:marBottom w:val="0"/>
                  <w:divBdr>
                    <w:top w:val="none" w:sz="0" w:space="0" w:color="auto"/>
                    <w:left w:val="none" w:sz="0" w:space="0" w:color="auto"/>
                    <w:bottom w:val="none" w:sz="0" w:space="0" w:color="auto"/>
                    <w:right w:val="none" w:sz="0" w:space="0" w:color="auto"/>
                  </w:divBdr>
                </w:div>
                <w:div w:id="2031682411">
                  <w:marLeft w:val="0"/>
                  <w:marRight w:val="0"/>
                  <w:marTop w:val="0"/>
                  <w:marBottom w:val="0"/>
                  <w:divBdr>
                    <w:top w:val="none" w:sz="0" w:space="0" w:color="auto"/>
                    <w:left w:val="none" w:sz="0" w:space="0" w:color="auto"/>
                    <w:bottom w:val="none" w:sz="0" w:space="0" w:color="auto"/>
                    <w:right w:val="none" w:sz="0" w:space="0" w:color="auto"/>
                  </w:divBdr>
                </w:div>
                <w:div w:id="383990709">
                  <w:marLeft w:val="0"/>
                  <w:marRight w:val="0"/>
                  <w:marTop w:val="0"/>
                  <w:marBottom w:val="0"/>
                  <w:divBdr>
                    <w:top w:val="none" w:sz="0" w:space="0" w:color="auto"/>
                    <w:left w:val="none" w:sz="0" w:space="0" w:color="auto"/>
                    <w:bottom w:val="none" w:sz="0" w:space="0" w:color="auto"/>
                    <w:right w:val="none" w:sz="0" w:space="0" w:color="auto"/>
                  </w:divBdr>
                </w:div>
                <w:div w:id="740828537">
                  <w:marLeft w:val="0"/>
                  <w:marRight w:val="0"/>
                  <w:marTop w:val="0"/>
                  <w:marBottom w:val="0"/>
                  <w:divBdr>
                    <w:top w:val="none" w:sz="0" w:space="0" w:color="auto"/>
                    <w:left w:val="none" w:sz="0" w:space="0" w:color="auto"/>
                    <w:bottom w:val="none" w:sz="0" w:space="0" w:color="auto"/>
                    <w:right w:val="none" w:sz="0" w:space="0" w:color="auto"/>
                  </w:divBdr>
                </w:div>
                <w:div w:id="835418355">
                  <w:marLeft w:val="0"/>
                  <w:marRight w:val="0"/>
                  <w:marTop w:val="0"/>
                  <w:marBottom w:val="0"/>
                  <w:divBdr>
                    <w:top w:val="none" w:sz="0" w:space="0" w:color="auto"/>
                    <w:left w:val="none" w:sz="0" w:space="0" w:color="auto"/>
                    <w:bottom w:val="none" w:sz="0" w:space="0" w:color="auto"/>
                    <w:right w:val="none" w:sz="0" w:space="0" w:color="auto"/>
                  </w:divBdr>
                </w:div>
                <w:div w:id="782841923">
                  <w:marLeft w:val="0"/>
                  <w:marRight w:val="0"/>
                  <w:marTop w:val="0"/>
                  <w:marBottom w:val="0"/>
                  <w:divBdr>
                    <w:top w:val="none" w:sz="0" w:space="0" w:color="auto"/>
                    <w:left w:val="none" w:sz="0" w:space="0" w:color="auto"/>
                    <w:bottom w:val="none" w:sz="0" w:space="0" w:color="auto"/>
                    <w:right w:val="none" w:sz="0" w:space="0" w:color="auto"/>
                  </w:divBdr>
                </w:div>
                <w:div w:id="104467702">
                  <w:marLeft w:val="0"/>
                  <w:marRight w:val="0"/>
                  <w:marTop w:val="0"/>
                  <w:marBottom w:val="0"/>
                  <w:divBdr>
                    <w:top w:val="none" w:sz="0" w:space="0" w:color="auto"/>
                    <w:left w:val="none" w:sz="0" w:space="0" w:color="auto"/>
                    <w:bottom w:val="none" w:sz="0" w:space="0" w:color="auto"/>
                    <w:right w:val="none" w:sz="0" w:space="0" w:color="auto"/>
                  </w:divBdr>
                </w:div>
                <w:div w:id="1055159885">
                  <w:marLeft w:val="0"/>
                  <w:marRight w:val="0"/>
                  <w:marTop w:val="0"/>
                  <w:marBottom w:val="0"/>
                  <w:divBdr>
                    <w:top w:val="none" w:sz="0" w:space="0" w:color="auto"/>
                    <w:left w:val="none" w:sz="0" w:space="0" w:color="auto"/>
                    <w:bottom w:val="none" w:sz="0" w:space="0" w:color="auto"/>
                    <w:right w:val="none" w:sz="0" w:space="0" w:color="auto"/>
                  </w:divBdr>
                </w:div>
                <w:div w:id="236982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46055">
          <w:marLeft w:val="0"/>
          <w:marRight w:val="0"/>
          <w:marTop w:val="15"/>
          <w:marBottom w:val="0"/>
          <w:divBdr>
            <w:top w:val="none" w:sz="0" w:space="0" w:color="auto"/>
            <w:left w:val="none" w:sz="0" w:space="0" w:color="auto"/>
            <w:bottom w:val="none" w:sz="0" w:space="0" w:color="auto"/>
            <w:right w:val="none" w:sz="0" w:space="0" w:color="auto"/>
          </w:divBdr>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352518">
      <w:bodyDiv w:val="1"/>
      <w:marLeft w:val="0"/>
      <w:marRight w:val="0"/>
      <w:marTop w:val="0"/>
      <w:marBottom w:val="0"/>
      <w:divBdr>
        <w:top w:val="none" w:sz="0" w:space="0" w:color="auto"/>
        <w:left w:val="none" w:sz="0" w:space="0" w:color="auto"/>
        <w:bottom w:val="none" w:sz="0" w:space="0" w:color="auto"/>
        <w:right w:val="none" w:sz="0" w:space="0" w:color="auto"/>
      </w:divBdr>
      <w:divsChild>
        <w:div w:id="153373148">
          <w:marLeft w:val="0"/>
          <w:marRight w:val="0"/>
          <w:marTop w:val="0"/>
          <w:marBottom w:val="0"/>
          <w:divBdr>
            <w:top w:val="none" w:sz="0" w:space="0" w:color="auto"/>
            <w:left w:val="none" w:sz="0" w:space="0" w:color="auto"/>
            <w:bottom w:val="none" w:sz="0" w:space="0" w:color="auto"/>
            <w:right w:val="none" w:sz="0" w:space="0" w:color="auto"/>
          </w:divBdr>
        </w:div>
        <w:div w:id="174923226">
          <w:marLeft w:val="0"/>
          <w:marRight w:val="0"/>
          <w:marTop w:val="0"/>
          <w:marBottom w:val="0"/>
          <w:divBdr>
            <w:top w:val="none" w:sz="0" w:space="0" w:color="auto"/>
            <w:left w:val="none" w:sz="0" w:space="0" w:color="auto"/>
            <w:bottom w:val="none" w:sz="0" w:space="0" w:color="auto"/>
            <w:right w:val="none" w:sz="0" w:space="0" w:color="auto"/>
          </w:divBdr>
        </w:div>
        <w:div w:id="212468893">
          <w:marLeft w:val="0"/>
          <w:marRight w:val="0"/>
          <w:marTop w:val="0"/>
          <w:marBottom w:val="0"/>
          <w:divBdr>
            <w:top w:val="none" w:sz="0" w:space="0" w:color="auto"/>
            <w:left w:val="none" w:sz="0" w:space="0" w:color="auto"/>
            <w:bottom w:val="none" w:sz="0" w:space="0" w:color="auto"/>
            <w:right w:val="none" w:sz="0" w:space="0" w:color="auto"/>
          </w:divBdr>
        </w:div>
        <w:div w:id="278413570">
          <w:marLeft w:val="0"/>
          <w:marRight w:val="0"/>
          <w:marTop w:val="0"/>
          <w:marBottom w:val="0"/>
          <w:divBdr>
            <w:top w:val="none" w:sz="0" w:space="0" w:color="auto"/>
            <w:left w:val="none" w:sz="0" w:space="0" w:color="auto"/>
            <w:bottom w:val="none" w:sz="0" w:space="0" w:color="auto"/>
            <w:right w:val="none" w:sz="0" w:space="0" w:color="auto"/>
          </w:divBdr>
        </w:div>
        <w:div w:id="339433359">
          <w:marLeft w:val="0"/>
          <w:marRight w:val="0"/>
          <w:marTop w:val="0"/>
          <w:marBottom w:val="0"/>
          <w:divBdr>
            <w:top w:val="none" w:sz="0" w:space="0" w:color="auto"/>
            <w:left w:val="none" w:sz="0" w:space="0" w:color="auto"/>
            <w:bottom w:val="none" w:sz="0" w:space="0" w:color="auto"/>
            <w:right w:val="none" w:sz="0" w:space="0" w:color="auto"/>
          </w:divBdr>
        </w:div>
        <w:div w:id="381564107">
          <w:marLeft w:val="0"/>
          <w:marRight w:val="0"/>
          <w:marTop w:val="0"/>
          <w:marBottom w:val="0"/>
          <w:divBdr>
            <w:top w:val="none" w:sz="0" w:space="0" w:color="auto"/>
            <w:left w:val="none" w:sz="0" w:space="0" w:color="auto"/>
            <w:bottom w:val="none" w:sz="0" w:space="0" w:color="auto"/>
            <w:right w:val="none" w:sz="0" w:space="0" w:color="auto"/>
          </w:divBdr>
        </w:div>
        <w:div w:id="492991100">
          <w:marLeft w:val="0"/>
          <w:marRight w:val="0"/>
          <w:marTop w:val="0"/>
          <w:marBottom w:val="0"/>
          <w:divBdr>
            <w:top w:val="none" w:sz="0" w:space="0" w:color="auto"/>
            <w:left w:val="none" w:sz="0" w:space="0" w:color="auto"/>
            <w:bottom w:val="none" w:sz="0" w:space="0" w:color="auto"/>
            <w:right w:val="none" w:sz="0" w:space="0" w:color="auto"/>
          </w:divBdr>
        </w:div>
        <w:div w:id="599871560">
          <w:marLeft w:val="0"/>
          <w:marRight w:val="0"/>
          <w:marTop w:val="0"/>
          <w:marBottom w:val="0"/>
          <w:divBdr>
            <w:top w:val="none" w:sz="0" w:space="0" w:color="auto"/>
            <w:left w:val="none" w:sz="0" w:space="0" w:color="auto"/>
            <w:bottom w:val="none" w:sz="0" w:space="0" w:color="auto"/>
            <w:right w:val="none" w:sz="0" w:space="0" w:color="auto"/>
          </w:divBdr>
        </w:div>
        <w:div w:id="615068080">
          <w:marLeft w:val="0"/>
          <w:marRight w:val="0"/>
          <w:marTop w:val="0"/>
          <w:marBottom w:val="0"/>
          <w:divBdr>
            <w:top w:val="none" w:sz="0" w:space="0" w:color="auto"/>
            <w:left w:val="none" w:sz="0" w:space="0" w:color="auto"/>
            <w:bottom w:val="none" w:sz="0" w:space="0" w:color="auto"/>
            <w:right w:val="none" w:sz="0" w:space="0" w:color="auto"/>
          </w:divBdr>
        </w:div>
        <w:div w:id="650719194">
          <w:marLeft w:val="0"/>
          <w:marRight w:val="0"/>
          <w:marTop w:val="0"/>
          <w:marBottom w:val="0"/>
          <w:divBdr>
            <w:top w:val="none" w:sz="0" w:space="0" w:color="auto"/>
            <w:left w:val="none" w:sz="0" w:space="0" w:color="auto"/>
            <w:bottom w:val="none" w:sz="0" w:space="0" w:color="auto"/>
            <w:right w:val="none" w:sz="0" w:space="0" w:color="auto"/>
          </w:divBdr>
        </w:div>
        <w:div w:id="674457024">
          <w:marLeft w:val="0"/>
          <w:marRight w:val="0"/>
          <w:marTop w:val="0"/>
          <w:marBottom w:val="0"/>
          <w:divBdr>
            <w:top w:val="none" w:sz="0" w:space="0" w:color="auto"/>
            <w:left w:val="none" w:sz="0" w:space="0" w:color="auto"/>
            <w:bottom w:val="none" w:sz="0" w:space="0" w:color="auto"/>
            <w:right w:val="none" w:sz="0" w:space="0" w:color="auto"/>
          </w:divBdr>
        </w:div>
        <w:div w:id="722948924">
          <w:marLeft w:val="0"/>
          <w:marRight w:val="0"/>
          <w:marTop w:val="0"/>
          <w:marBottom w:val="0"/>
          <w:divBdr>
            <w:top w:val="none" w:sz="0" w:space="0" w:color="auto"/>
            <w:left w:val="none" w:sz="0" w:space="0" w:color="auto"/>
            <w:bottom w:val="none" w:sz="0" w:space="0" w:color="auto"/>
            <w:right w:val="none" w:sz="0" w:space="0" w:color="auto"/>
          </w:divBdr>
        </w:div>
        <w:div w:id="732896923">
          <w:marLeft w:val="0"/>
          <w:marRight w:val="0"/>
          <w:marTop w:val="0"/>
          <w:marBottom w:val="0"/>
          <w:divBdr>
            <w:top w:val="none" w:sz="0" w:space="0" w:color="auto"/>
            <w:left w:val="none" w:sz="0" w:space="0" w:color="auto"/>
            <w:bottom w:val="none" w:sz="0" w:space="0" w:color="auto"/>
            <w:right w:val="none" w:sz="0" w:space="0" w:color="auto"/>
          </w:divBdr>
        </w:div>
        <w:div w:id="821044453">
          <w:marLeft w:val="0"/>
          <w:marRight w:val="0"/>
          <w:marTop w:val="0"/>
          <w:marBottom w:val="0"/>
          <w:divBdr>
            <w:top w:val="none" w:sz="0" w:space="0" w:color="auto"/>
            <w:left w:val="none" w:sz="0" w:space="0" w:color="auto"/>
            <w:bottom w:val="none" w:sz="0" w:space="0" w:color="auto"/>
            <w:right w:val="none" w:sz="0" w:space="0" w:color="auto"/>
          </w:divBdr>
        </w:div>
        <w:div w:id="825589617">
          <w:marLeft w:val="0"/>
          <w:marRight w:val="0"/>
          <w:marTop w:val="0"/>
          <w:marBottom w:val="0"/>
          <w:divBdr>
            <w:top w:val="none" w:sz="0" w:space="0" w:color="auto"/>
            <w:left w:val="none" w:sz="0" w:space="0" w:color="auto"/>
            <w:bottom w:val="none" w:sz="0" w:space="0" w:color="auto"/>
            <w:right w:val="none" w:sz="0" w:space="0" w:color="auto"/>
          </w:divBdr>
        </w:div>
        <w:div w:id="851988181">
          <w:marLeft w:val="0"/>
          <w:marRight w:val="0"/>
          <w:marTop w:val="0"/>
          <w:marBottom w:val="0"/>
          <w:divBdr>
            <w:top w:val="none" w:sz="0" w:space="0" w:color="auto"/>
            <w:left w:val="none" w:sz="0" w:space="0" w:color="auto"/>
            <w:bottom w:val="none" w:sz="0" w:space="0" w:color="auto"/>
            <w:right w:val="none" w:sz="0" w:space="0" w:color="auto"/>
          </w:divBdr>
        </w:div>
        <w:div w:id="890578342">
          <w:marLeft w:val="0"/>
          <w:marRight w:val="0"/>
          <w:marTop w:val="0"/>
          <w:marBottom w:val="0"/>
          <w:divBdr>
            <w:top w:val="none" w:sz="0" w:space="0" w:color="auto"/>
            <w:left w:val="none" w:sz="0" w:space="0" w:color="auto"/>
            <w:bottom w:val="none" w:sz="0" w:space="0" w:color="auto"/>
            <w:right w:val="none" w:sz="0" w:space="0" w:color="auto"/>
          </w:divBdr>
        </w:div>
        <w:div w:id="1085494934">
          <w:marLeft w:val="0"/>
          <w:marRight w:val="0"/>
          <w:marTop w:val="0"/>
          <w:marBottom w:val="0"/>
          <w:divBdr>
            <w:top w:val="none" w:sz="0" w:space="0" w:color="auto"/>
            <w:left w:val="none" w:sz="0" w:space="0" w:color="auto"/>
            <w:bottom w:val="none" w:sz="0" w:space="0" w:color="auto"/>
            <w:right w:val="none" w:sz="0" w:space="0" w:color="auto"/>
          </w:divBdr>
        </w:div>
        <w:div w:id="1104964007">
          <w:marLeft w:val="0"/>
          <w:marRight w:val="0"/>
          <w:marTop w:val="0"/>
          <w:marBottom w:val="0"/>
          <w:divBdr>
            <w:top w:val="none" w:sz="0" w:space="0" w:color="auto"/>
            <w:left w:val="none" w:sz="0" w:space="0" w:color="auto"/>
            <w:bottom w:val="none" w:sz="0" w:space="0" w:color="auto"/>
            <w:right w:val="none" w:sz="0" w:space="0" w:color="auto"/>
          </w:divBdr>
        </w:div>
        <w:div w:id="1141070163">
          <w:marLeft w:val="0"/>
          <w:marRight w:val="0"/>
          <w:marTop w:val="0"/>
          <w:marBottom w:val="0"/>
          <w:divBdr>
            <w:top w:val="none" w:sz="0" w:space="0" w:color="auto"/>
            <w:left w:val="none" w:sz="0" w:space="0" w:color="auto"/>
            <w:bottom w:val="none" w:sz="0" w:space="0" w:color="auto"/>
            <w:right w:val="none" w:sz="0" w:space="0" w:color="auto"/>
          </w:divBdr>
        </w:div>
        <w:div w:id="1159345301">
          <w:marLeft w:val="0"/>
          <w:marRight w:val="0"/>
          <w:marTop w:val="0"/>
          <w:marBottom w:val="0"/>
          <w:divBdr>
            <w:top w:val="none" w:sz="0" w:space="0" w:color="auto"/>
            <w:left w:val="none" w:sz="0" w:space="0" w:color="auto"/>
            <w:bottom w:val="none" w:sz="0" w:space="0" w:color="auto"/>
            <w:right w:val="none" w:sz="0" w:space="0" w:color="auto"/>
          </w:divBdr>
        </w:div>
        <w:div w:id="1175149069">
          <w:marLeft w:val="0"/>
          <w:marRight w:val="0"/>
          <w:marTop w:val="0"/>
          <w:marBottom w:val="0"/>
          <w:divBdr>
            <w:top w:val="none" w:sz="0" w:space="0" w:color="auto"/>
            <w:left w:val="none" w:sz="0" w:space="0" w:color="auto"/>
            <w:bottom w:val="none" w:sz="0" w:space="0" w:color="auto"/>
            <w:right w:val="none" w:sz="0" w:space="0" w:color="auto"/>
          </w:divBdr>
        </w:div>
        <w:div w:id="1179388089">
          <w:marLeft w:val="0"/>
          <w:marRight w:val="0"/>
          <w:marTop w:val="0"/>
          <w:marBottom w:val="0"/>
          <w:divBdr>
            <w:top w:val="none" w:sz="0" w:space="0" w:color="auto"/>
            <w:left w:val="none" w:sz="0" w:space="0" w:color="auto"/>
            <w:bottom w:val="none" w:sz="0" w:space="0" w:color="auto"/>
            <w:right w:val="none" w:sz="0" w:space="0" w:color="auto"/>
          </w:divBdr>
        </w:div>
        <w:div w:id="1219777414">
          <w:marLeft w:val="0"/>
          <w:marRight w:val="0"/>
          <w:marTop w:val="0"/>
          <w:marBottom w:val="0"/>
          <w:divBdr>
            <w:top w:val="none" w:sz="0" w:space="0" w:color="auto"/>
            <w:left w:val="none" w:sz="0" w:space="0" w:color="auto"/>
            <w:bottom w:val="none" w:sz="0" w:space="0" w:color="auto"/>
            <w:right w:val="none" w:sz="0" w:space="0" w:color="auto"/>
          </w:divBdr>
        </w:div>
        <w:div w:id="1298293074">
          <w:marLeft w:val="0"/>
          <w:marRight w:val="0"/>
          <w:marTop w:val="0"/>
          <w:marBottom w:val="0"/>
          <w:divBdr>
            <w:top w:val="none" w:sz="0" w:space="0" w:color="auto"/>
            <w:left w:val="none" w:sz="0" w:space="0" w:color="auto"/>
            <w:bottom w:val="none" w:sz="0" w:space="0" w:color="auto"/>
            <w:right w:val="none" w:sz="0" w:space="0" w:color="auto"/>
          </w:divBdr>
        </w:div>
        <w:div w:id="1326394591">
          <w:marLeft w:val="0"/>
          <w:marRight w:val="0"/>
          <w:marTop w:val="0"/>
          <w:marBottom w:val="0"/>
          <w:divBdr>
            <w:top w:val="none" w:sz="0" w:space="0" w:color="auto"/>
            <w:left w:val="none" w:sz="0" w:space="0" w:color="auto"/>
            <w:bottom w:val="none" w:sz="0" w:space="0" w:color="auto"/>
            <w:right w:val="none" w:sz="0" w:space="0" w:color="auto"/>
          </w:divBdr>
        </w:div>
        <w:div w:id="1350259562">
          <w:marLeft w:val="0"/>
          <w:marRight w:val="0"/>
          <w:marTop w:val="0"/>
          <w:marBottom w:val="0"/>
          <w:divBdr>
            <w:top w:val="none" w:sz="0" w:space="0" w:color="auto"/>
            <w:left w:val="none" w:sz="0" w:space="0" w:color="auto"/>
            <w:bottom w:val="none" w:sz="0" w:space="0" w:color="auto"/>
            <w:right w:val="none" w:sz="0" w:space="0" w:color="auto"/>
          </w:divBdr>
        </w:div>
        <w:div w:id="1439986942">
          <w:marLeft w:val="0"/>
          <w:marRight w:val="0"/>
          <w:marTop w:val="0"/>
          <w:marBottom w:val="0"/>
          <w:divBdr>
            <w:top w:val="none" w:sz="0" w:space="0" w:color="auto"/>
            <w:left w:val="none" w:sz="0" w:space="0" w:color="auto"/>
            <w:bottom w:val="none" w:sz="0" w:space="0" w:color="auto"/>
            <w:right w:val="none" w:sz="0" w:space="0" w:color="auto"/>
          </w:divBdr>
        </w:div>
        <w:div w:id="1467090662">
          <w:marLeft w:val="0"/>
          <w:marRight w:val="0"/>
          <w:marTop w:val="0"/>
          <w:marBottom w:val="0"/>
          <w:divBdr>
            <w:top w:val="none" w:sz="0" w:space="0" w:color="auto"/>
            <w:left w:val="none" w:sz="0" w:space="0" w:color="auto"/>
            <w:bottom w:val="none" w:sz="0" w:space="0" w:color="auto"/>
            <w:right w:val="none" w:sz="0" w:space="0" w:color="auto"/>
          </w:divBdr>
        </w:div>
        <w:div w:id="1489127467">
          <w:marLeft w:val="0"/>
          <w:marRight w:val="0"/>
          <w:marTop w:val="0"/>
          <w:marBottom w:val="0"/>
          <w:divBdr>
            <w:top w:val="none" w:sz="0" w:space="0" w:color="auto"/>
            <w:left w:val="none" w:sz="0" w:space="0" w:color="auto"/>
            <w:bottom w:val="none" w:sz="0" w:space="0" w:color="auto"/>
            <w:right w:val="none" w:sz="0" w:space="0" w:color="auto"/>
          </w:divBdr>
        </w:div>
        <w:div w:id="1605461595">
          <w:marLeft w:val="0"/>
          <w:marRight w:val="0"/>
          <w:marTop w:val="0"/>
          <w:marBottom w:val="0"/>
          <w:divBdr>
            <w:top w:val="none" w:sz="0" w:space="0" w:color="auto"/>
            <w:left w:val="none" w:sz="0" w:space="0" w:color="auto"/>
            <w:bottom w:val="none" w:sz="0" w:space="0" w:color="auto"/>
            <w:right w:val="none" w:sz="0" w:space="0" w:color="auto"/>
          </w:divBdr>
        </w:div>
        <w:div w:id="1694915572">
          <w:marLeft w:val="0"/>
          <w:marRight w:val="0"/>
          <w:marTop w:val="0"/>
          <w:marBottom w:val="0"/>
          <w:divBdr>
            <w:top w:val="none" w:sz="0" w:space="0" w:color="auto"/>
            <w:left w:val="none" w:sz="0" w:space="0" w:color="auto"/>
            <w:bottom w:val="none" w:sz="0" w:space="0" w:color="auto"/>
            <w:right w:val="none" w:sz="0" w:space="0" w:color="auto"/>
          </w:divBdr>
        </w:div>
        <w:div w:id="1738363066">
          <w:marLeft w:val="0"/>
          <w:marRight w:val="0"/>
          <w:marTop w:val="0"/>
          <w:marBottom w:val="0"/>
          <w:divBdr>
            <w:top w:val="none" w:sz="0" w:space="0" w:color="auto"/>
            <w:left w:val="none" w:sz="0" w:space="0" w:color="auto"/>
            <w:bottom w:val="none" w:sz="0" w:space="0" w:color="auto"/>
            <w:right w:val="none" w:sz="0" w:space="0" w:color="auto"/>
          </w:divBdr>
        </w:div>
        <w:div w:id="1780025265">
          <w:marLeft w:val="0"/>
          <w:marRight w:val="0"/>
          <w:marTop w:val="0"/>
          <w:marBottom w:val="0"/>
          <w:divBdr>
            <w:top w:val="none" w:sz="0" w:space="0" w:color="auto"/>
            <w:left w:val="none" w:sz="0" w:space="0" w:color="auto"/>
            <w:bottom w:val="none" w:sz="0" w:space="0" w:color="auto"/>
            <w:right w:val="none" w:sz="0" w:space="0" w:color="auto"/>
          </w:divBdr>
        </w:div>
        <w:div w:id="1812481263">
          <w:marLeft w:val="0"/>
          <w:marRight w:val="0"/>
          <w:marTop w:val="0"/>
          <w:marBottom w:val="0"/>
          <w:divBdr>
            <w:top w:val="none" w:sz="0" w:space="0" w:color="auto"/>
            <w:left w:val="none" w:sz="0" w:space="0" w:color="auto"/>
            <w:bottom w:val="none" w:sz="0" w:space="0" w:color="auto"/>
            <w:right w:val="none" w:sz="0" w:space="0" w:color="auto"/>
          </w:divBdr>
        </w:div>
        <w:div w:id="1817184660">
          <w:marLeft w:val="0"/>
          <w:marRight w:val="0"/>
          <w:marTop w:val="0"/>
          <w:marBottom w:val="0"/>
          <w:divBdr>
            <w:top w:val="none" w:sz="0" w:space="0" w:color="auto"/>
            <w:left w:val="none" w:sz="0" w:space="0" w:color="auto"/>
            <w:bottom w:val="none" w:sz="0" w:space="0" w:color="auto"/>
            <w:right w:val="none" w:sz="0" w:space="0" w:color="auto"/>
          </w:divBdr>
        </w:div>
        <w:div w:id="1866551536">
          <w:marLeft w:val="0"/>
          <w:marRight w:val="0"/>
          <w:marTop w:val="0"/>
          <w:marBottom w:val="0"/>
          <w:divBdr>
            <w:top w:val="none" w:sz="0" w:space="0" w:color="auto"/>
            <w:left w:val="none" w:sz="0" w:space="0" w:color="auto"/>
            <w:bottom w:val="none" w:sz="0" w:space="0" w:color="auto"/>
            <w:right w:val="none" w:sz="0" w:space="0" w:color="auto"/>
          </w:divBdr>
        </w:div>
        <w:div w:id="2006322085">
          <w:marLeft w:val="0"/>
          <w:marRight w:val="0"/>
          <w:marTop w:val="0"/>
          <w:marBottom w:val="0"/>
          <w:divBdr>
            <w:top w:val="none" w:sz="0" w:space="0" w:color="auto"/>
            <w:left w:val="none" w:sz="0" w:space="0" w:color="auto"/>
            <w:bottom w:val="none" w:sz="0" w:space="0" w:color="auto"/>
            <w:right w:val="none" w:sz="0" w:space="0" w:color="auto"/>
          </w:divBdr>
        </w:div>
        <w:div w:id="2048212168">
          <w:marLeft w:val="0"/>
          <w:marRight w:val="0"/>
          <w:marTop w:val="0"/>
          <w:marBottom w:val="0"/>
          <w:divBdr>
            <w:top w:val="none" w:sz="0" w:space="0" w:color="auto"/>
            <w:left w:val="none" w:sz="0" w:space="0" w:color="auto"/>
            <w:bottom w:val="none" w:sz="0" w:space="0" w:color="auto"/>
            <w:right w:val="none" w:sz="0" w:space="0" w:color="auto"/>
          </w:divBdr>
        </w:div>
        <w:div w:id="2101218402">
          <w:marLeft w:val="0"/>
          <w:marRight w:val="0"/>
          <w:marTop w:val="0"/>
          <w:marBottom w:val="0"/>
          <w:divBdr>
            <w:top w:val="none" w:sz="0" w:space="0" w:color="auto"/>
            <w:left w:val="none" w:sz="0" w:space="0" w:color="auto"/>
            <w:bottom w:val="none" w:sz="0" w:space="0" w:color="auto"/>
            <w:right w:val="none" w:sz="0" w:space="0" w:color="auto"/>
          </w:divBdr>
        </w:div>
        <w:div w:id="2112510285">
          <w:marLeft w:val="0"/>
          <w:marRight w:val="0"/>
          <w:marTop w:val="0"/>
          <w:marBottom w:val="0"/>
          <w:divBdr>
            <w:top w:val="none" w:sz="0" w:space="0" w:color="auto"/>
            <w:left w:val="none" w:sz="0" w:space="0" w:color="auto"/>
            <w:bottom w:val="none" w:sz="0" w:space="0" w:color="auto"/>
            <w:right w:val="none" w:sz="0" w:space="0" w:color="auto"/>
          </w:divBdr>
        </w:div>
      </w:divsChild>
    </w:div>
    <w:div w:id="542836776">
      <w:bodyDiv w:val="1"/>
      <w:marLeft w:val="0"/>
      <w:marRight w:val="0"/>
      <w:marTop w:val="0"/>
      <w:marBottom w:val="0"/>
      <w:divBdr>
        <w:top w:val="none" w:sz="0" w:space="0" w:color="auto"/>
        <w:left w:val="none" w:sz="0" w:space="0" w:color="auto"/>
        <w:bottom w:val="none" w:sz="0" w:space="0" w:color="auto"/>
        <w:right w:val="none" w:sz="0" w:space="0" w:color="auto"/>
      </w:divBdr>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0184275">
      <w:bodyDiv w:val="1"/>
      <w:marLeft w:val="0"/>
      <w:marRight w:val="0"/>
      <w:marTop w:val="0"/>
      <w:marBottom w:val="0"/>
      <w:divBdr>
        <w:top w:val="none" w:sz="0" w:space="0" w:color="auto"/>
        <w:left w:val="none" w:sz="0" w:space="0" w:color="auto"/>
        <w:bottom w:val="none" w:sz="0" w:space="0" w:color="auto"/>
        <w:right w:val="none" w:sz="0" w:space="0" w:color="auto"/>
      </w:divBdr>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1231108">
      <w:bodyDiv w:val="1"/>
      <w:marLeft w:val="0"/>
      <w:marRight w:val="0"/>
      <w:marTop w:val="0"/>
      <w:marBottom w:val="0"/>
      <w:divBdr>
        <w:top w:val="none" w:sz="0" w:space="0" w:color="auto"/>
        <w:left w:val="none" w:sz="0" w:space="0" w:color="auto"/>
        <w:bottom w:val="none" w:sz="0" w:space="0" w:color="auto"/>
        <w:right w:val="none" w:sz="0" w:space="0" w:color="auto"/>
      </w:divBdr>
      <w:divsChild>
        <w:div w:id="2001303099">
          <w:marLeft w:val="0"/>
          <w:marRight w:val="0"/>
          <w:marTop w:val="0"/>
          <w:marBottom w:val="0"/>
          <w:divBdr>
            <w:top w:val="none" w:sz="0" w:space="0" w:color="auto"/>
            <w:left w:val="none" w:sz="0" w:space="0" w:color="auto"/>
            <w:bottom w:val="none" w:sz="0" w:space="0" w:color="auto"/>
            <w:right w:val="none" w:sz="0" w:space="0" w:color="auto"/>
          </w:divBdr>
        </w:div>
        <w:div w:id="1316491643">
          <w:marLeft w:val="0"/>
          <w:marRight w:val="0"/>
          <w:marTop w:val="0"/>
          <w:marBottom w:val="0"/>
          <w:divBdr>
            <w:top w:val="none" w:sz="0" w:space="0" w:color="auto"/>
            <w:left w:val="none" w:sz="0" w:space="0" w:color="auto"/>
            <w:bottom w:val="none" w:sz="0" w:space="0" w:color="auto"/>
            <w:right w:val="none" w:sz="0" w:space="0" w:color="auto"/>
          </w:divBdr>
        </w:div>
      </w:divsChild>
    </w:div>
    <w:div w:id="700279571">
      <w:bodyDiv w:val="1"/>
      <w:marLeft w:val="0"/>
      <w:marRight w:val="0"/>
      <w:marTop w:val="0"/>
      <w:marBottom w:val="0"/>
      <w:divBdr>
        <w:top w:val="none" w:sz="0" w:space="0" w:color="auto"/>
        <w:left w:val="none" w:sz="0" w:space="0" w:color="auto"/>
        <w:bottom w:val="none" w:sz="0" w:space="0" w:color="auto"/>
        <w:right w:val="none" w:sz="0" w:space="0" w:color="auto"/>
      </w:divBdr>
      <w:divsChild>
        <w:div w:id="367920503">
          <w:marLeft w:val="0"/>
          <w:marRight w:val="0"/>
          <w:marTop w:val="15"/>
          <w:marBottom w:val="0"/>
          <w:divBdr>
            <w:top w:val="none" w:sz="0" w:space="0" w:color="auto"/>
            <w:left w:val="none" w:sz="0" w:space="0" w:color="auto"/>
            <w:bottom w:val="none" w:sz="0" w:space="0" w:color="auto"/>
            <w:right w:val="none" w:sz="0" w:space="0" w:color="auto"/>
          </w:divBdr>
        </w:div>
        <w:div w:id="1613123196">
          <w:marLeft w:val="0"/>
          <w:marRight w:val="0"/>
          <w:marTop w:val="15"/>
          <w:marBottom w:val="0"/>
          <w:divBdr>
            <w:top w:val="none" w:sz="0" w:space="0" w:color="auto"/>
            <w:left w:val="none" w:sz="0" w:space="0" w:color="auto"/>
            <w:bottom w:val="none" w:sz="0" w:space="0" w:color="auto"/>
            <w:right w:val="none" w:sz="0" w:space="0" w:color="auto"/>
          </w:divBdr>
          <w:divsChild>
            <w:div w:id="495535031">
              <w:marLeft w:val="0"/>
              <w:marRight w:val="0"/>
              <w:marTop w:val="0"/>
              <w:marBottom w:val="0"/>
              <w:divBdr>
                <w:top w:val="none" w:sz="0" w:space="0" w:color="auto"/>
                <w:left w:val="none" w:sz="0" w:space="0" w:color="auto"/>
                <w:bottom w:val="none" w:sz="0" w:space="0" w:color="auto"/>
                <w:right w:val="none" w:sz="0" w:space="0" w:color="auto"/>
              </w:divBdr>
              <w:divsChild>
                <w:div w:id="61681381">
                  <w:marLeft w:val="0"/>
                  <w:marRight w:val="0"/>
                  <w:marTop w:val="0"/>
                  <w:marBottom w:val="0"/>
                  <w:divBdr>
                    <w:top w:val="none" w:sz="0" w:space="0" w:color="auto"/>
                    <w:left w:val="none" w:sz="0" w:space="0" w:color="auto"/>
                    <w:bottom w:val="none" w:sz="0" w:space="0" w:color="auto"/>
                    <w:right w:val="none" w:sz="0" w:space="0" w:color="auto"/>
                  </w:divBdr>
                </w:div>
                <w:div w:id="140537814">
                  <w:marLeft w:val="0"/>
                  <w:marRight w:val="0"/>
                  <w:marTop w:val="0"/>
                  <w:marBottom w:val="0"/>
                  <w:divBdr>
                    <w:top w:val="none" w:sz="0" w:space="0" w:color="auto"/>
                    <w:left w:val="none" w:sz="0" w:space="0" w:color="auto"/>
                    <w:bottom w:val="none" w:sz="0" w:space="0" w:color="auto"/>
                    <w:right w:val="none" w:sz="0" w:space="0" w:color="auto"/>
                  </w:divBdr>
                </w:div>
                <w:div w:id="249003437">
                  <w:marLeft w:val="0"/>
                  <w:marRight w:val="0"/>
                  <w:marTop w:val="0"/>
                  <w:marBottom w:val="0"/>
                  <w:divBdr>
                    <w:top w:val="none" w:sz="0" w:space="0" w:color="auto"/>
                    <w:left w:val="none" w:sz="0" w:space="0" w:color="auto"/>
                    <w:bottom w:val="none" w:sz="0" w:space="0" w:color="auto"/>
                    <w:right w:val="none" w:sz="0" w:space="0" w:color="auto"/>
                  </w:divBdr>
                </w:div>
                <w:div w:id="266036721">
                  <w:marLeft w:val="0"/>
                  <w:marRight w:val="0"/>
                  <w:marTop w:val="0"/>
                  <w:marBottom w:val="0"/>
                  <w:divBdr>
                    <w:top w:val="none" w:sz="0" w:space="0" w:color="auto"/>
                    <w:left w:val="none" w:sz="0" w:space="0" w:color="auto"/>
                    <w:bottom w:val="none" w:sz="0" w:space="0" w:color="auto"/>
                    <w:right w:val="none" w:sz="0" w:space="0" w:color="auto"/>
                  </w:divBdr>
                </w:div>
                <w:div w:id="266085687">
                  <w:marLeft w:val="0"/>
                  <w:marRight w:val="0"/>
                  <w:marTop w:val="0"/>
                  <w:marBottom w:val="0"/>
                  <w:divBdr>
                    <w:top w:val="none" w:sz="0" w:space="0" w:color="auto"/>
                    <w:left w:val="none" w:sz="0" w:space="0" w:color="auto"/>
                    <w:bottom w:val="none" w:sz="0" w:space="0" w:color="auto"/>
                    <w:right w:val="none" w:sz="0" w:space="0" w:color="auto"/>
                  </w:divBdr>
                </w:div>
                <w:div w:id="309746365">
                  <w:marLeft w:val="0"/>
                  <w:marRight w:val="0"/>
                  <w:marTop w:val="0"/>
                  <w:marBottom w:val="0"/>
                  <w:divBdr>
                    <w:top w:val="none" w:sz="0" w:space="0" w:color="auto"/>
                    <w:left w:val="none" w:sz="0" w:space="0" w:color="auto"/>
                    <w:bottom w:val="none" w:sz="0" w:space="0" w:color="auto"/>
                    <w:right w:val="none" w:sz="0" w:space="0" w:color="auto"/>
                  </w:divBdr>
                </w:div>
                <w:div w:id="470094221">
                  <w:marLeft w:val="0"/>
                  <w:marRight w:val="0"/>
                  <w:marTop w:val="0"/>
                  <w:marBottom w:val="0"/>
                  <w:divBdr>
                    <w:top w:val="none" w:sz="0" w:space="0" w:color="auto"/>
                    <w:left w:val="none" w:sz="0" w:space="0" w:color="auto"/>
                    <w:bottom w:val="none" w:sz="0" w:space="0" w:color="auto"/>
                    <w:right w:val="none" w:sz="0" w:space="0" w:color="auto"/>
                  </w:divBdr>
                </w:div>
                <w:div w:id="514341097">
                  <w:marLeft w:val="0"/>
                  <w:marRight w:val="0"/>
                  <w:marTop w:val="0"/>
                  <w:marBottom w:val="0"/>
                  <w:divBdr>
                    <w:top w:val="none" w:sz="0" w:space="0" w:color="auto"/>
                    <w:left w:val="none" w:sz="0" w:space="0" w:color="auto"/>
                    <w:bottom w:val="none" w:sz="0" w:space="0" w:color="auto"/>
                    <w:right w:val="none" w:sz="0" w:space="0" w:color="auto"/>
                  </w:divBdr>
                </w:div>
                <w:div w:id="584342616">
                  <w:marLeft w:val="0"/>
                  <w:marRight w:val="0"/>
                  <w:marTop w:val="0"/>
                  <w:marBottom w:val="0"/>
                  <w:divBdr>
                    <w:top w:val="none" w:sz="0" w:space="0" w:color="auto"/>
                    <w:left w:val="none" w:sz="0" w:space="0" w:color="auto"/>
                    <w:bottom w:val="none" w:sz="0" w:space="0" w:color="auto"/>
                    <w:right w:val="none" w:sz="0" w:space="0" w:color="auto"/>
                  </w:divBdr>
                </w:div>
                <w:div w:id="595141346">
                  <w:marLeft w:val="0"/>
                  <w:marRight w:val="0"/>
                  <w:marTop w:val="0"/>
                  <w:marBottom w:val="0"/>
                  <w:divBdr>
                    <w:top w:val="none" w:sz="0" w:space="0" w:color="auto"/>
                    <w:left w:val="none" w:sz="0" w:space="0" w:color="auto"/>
                    <w:bottom w:val="none" w:sz="0" w:space="0" w:color="auto"/>
                    <w:right w:val="none" w:sz="0" w:space="0" w:color="auto"/>
                  </w:divBdr>
                </w:div>
                <w:div w:id="625043540">
                  <w:marLeft w:val="0"/>
                  <w:marRight w:val="0"/>
                  <w:marTop w:val="0"/>
                  <w:marBottom w:val="0"/>
                  <w:divBdr>
                    <w:top w:val="none" w:sz="0" w:space="0" w:color="auto"/>
                    <w:left w:val="none" w:sz="0" w:space="0" w:color="auto"/>
                    <w:bottom w:val="none" w:sz="0" w:space="0" w:color="auto"/>
                    <w:right w:val="none" w:sz="0" w:space="0" w:color="auto"/>
                  </w:divBdr>
                </w:div>
                <w:div w:id="670184149">
                  <w:marLeft w:val="0"/>
                  <w:marRight w:val="0"/>
                  <w:marTop w:val="0"/>
                  <w:marBottom w:val="0"/>
                  <w:divBdr>
                    <w:top w:val="none" w:sz="0" w:space="0" w:color="auto"/>
                    <w:left w:val="none" w:sz="0" w:space="0" w:color="auto"/>
                    <w:bottom w:val="none" w:sz="0" w:space="0" w:color="auto"/>
                    <w:right w:val="none" w:sz="0" w:space="0" w:color="auto"/>
                  </w:divBdr>
                </w:div>
                <w:div w:id="682321648">
                  <w:marLeft w:val="0"/>
                  <w:marRight w:val="0"/>
                  <w:marTop w:val="0"/>
                  <w:marBottom w:val="0"/>
                  <w:divBdr>
                    <w:top w:val="none" w:sz="0" w:space="0" w:color="auto"/>
                    <w:left w:val="none" w:sz="0" w:space="0" w:color="auto"/>
                    <w:bottom w:val="none" w:sz="0" w:space="0" w:color="auto"/>
                    <w:right w:val="none" w:sz="0" w:space="0" w:color="auto"/>
                  </w:divBdr>
                </w:div>
                <w:div w:id="700788899">
                  <w:marLeft w:val="0"/>
                  <w:marRight w:val="0"/>
                  <w:marTop w:val="0"/>
                  <w:marBottom w:val="0"/>
                  <w:divBdr>
                    <w:top w:val="none" w:sz="0" w:space="0" w:color="auto"/>
                    <w:left w:val="none" w:sz="0" w:space="0" w:color="auto"/>
                    <w:bottom w:val="none" w:sz="0" w:space="0" w:color="auto"/>
                    <w:right w:val="none" w:sz="0" w:space="0" w:color="auto"/>
                  </w:divBdr>
                </w:div>
                <w:div w:id="746810320">
                  <w:marLeft w:val="0"/>
                  <w:marRight w:val="0"/>
                  <w:marTop w:val="0"/>
                  <w:marBottom w:val="0"/>
                  <w:divBdr>
                    <w:top w:val="none" w:sz="0" w:space="0" w:color="auto"/>
                    <w:left w:val="none" w:sz="0" w:space="0" w:color="auto"/>
                    <w:bottom w:val="none" w:sz="0" w:space="0" w:color="auto"/>
                    <w:right w:val="none" w:sz="0" w:space="0" w:color="auto"/>
                  </w:divBdr>
                </w:div>
                <w:div w:id="794106974">
                  <w:marLeft w:val="0"/>
                  <w:marRight w:val="0"/>
                  <w:marTop w:val="0"/>
                  <w:marBottom w:val="0"/>
                  <w:divBdr>
                    <w:top w:val="none" w:sz="0" w:space="0" w:color="auto"/>
                    <w:left w:val="none" w:sz="0" w:space="0" w:color="auto"/>
                    <w:bottom w:val="none" w:sz="0" w:space="0" w:color="auto"/>
                    <w:right w:val="none" w:sz="0" w:space="0" w:color="auto"/>
                  </w:divBdr>
                </w:div>
                <w:div w:id="841969816">
                  <w:marLeft w:val="0"/>
                  <w:marRight w:val="0"/>
                  <w:marTop w:val="0"/>
                  <w:marBottom w:val="0"/>
                  <w:divBdr>
                    <w:top w:val="none" w:sz="0" w:space="0" w:color="auto"/>
                    <w:left w:val="none" w:sz="0" w:space="0" w:color="auto"/>
                    <w:bottom w:val="none" w:sz="0" w:space="0" w:color="auto"/>
                    <w:right w:val="none" w:sz="0" w:space="0" w:color="auto"/>
                  </w:divBdr>
                </w:div>
                <w:div w:id="920599273">
                  <w:marLeft w:val="0"/>
                  <w:marRight w:val="0"/>
                  <w:marTop w:val="0"/>
                  <w:marBottom w:val="0"/>
                  <w:divBdr>
                    <w:top w:val="none" w:sz="0" w:space="0" w:color="auto"/>
                    <w:left w:val="none" w:sz="0" w:space="0" w:color="auto"/>
                    <w:bottom w:val="none" w:sz="0" w:space="0" w:color="auto"/>
                    <w:right w:val="none" w:sz="0" w:space="0" w:color="auto"/>
                  </w:divBdr>
                </w:div>
                <w:div w:id="967050002">
                  <w:marLeft w:val="0"/>
                  <w:marRight w:val="0"/>
                  <w:marTop w:val="0"/>
                  <w:marBottom w:val="0"/>
                  <w:divBdr>
                    <w:top w:val="none" w:sz="0" w:space="0" w:color="auto"/>
                    <w:left w:val="none" w:sz="0" w:space="0" w:color="auto"/>
                    <w:bottom w:val="none" w:sz="0" w:space="0" w:color="auto"/>
                    <w:right w:val="none" w:sz="0" w:space="0" w:color="auto"/>
                  </w:divBdr>
                </w:div>
                <w:div w:id="1000621869">
                  <w:marLeft w:val="0"/>
                  <w:marRight w:val="0"/>
                  <w:marTop w:val="0"/>
                  <w:marBottom w:val="0"/>
                  <w:divBdr>
                    <w:top w:val="none" w:sz="0" w:space="0" w:color="auto"/>
                    <w:left w:val="none" w:sz="0" w:space="0" w:color="auto"/>
                    <w:bottom w:val="none" w:sz="0" w:space="0" w:color="auto"/>
                    <w:right w:val="none" w:sz="0" w:space="0" w:color="auto"/>
                  </w:divBdr>
                </w:div>
                <w:div w:id="1004823650">
                  <w:marLeft w:val="0"/>
                  <w:marRight w:val="0"/>
                  <w:marTop w:val="0"/>
                  <w:marBottom w:val="0"/>
                  <w:divBdr>
                    <w:top w:val="none" w:sz="0" w:space="0" w:color="auto"/>
                    <w:left w:val="none" w:sz="0" w:space="0" w:color="auto"/>
                    <w:bottom w:val="none" w:sz="0" w:space="0" w:color="auto"/>
                    <w:right w:val="none" w:sz="0" w:space="0" w:color="auto"/>
                  </w:divBdr>
                </w:div>
                <w:div w:id="1006831171">
                  <w:marLeft w:val="0"/>
                  <w:marRight w:val="0"/>
                  <w:marTop w:val="0"/>
                  <w:marBottom w:val="0"/>
                  <w:divBdr>
                    <w:top w:val="none" w:sz="0" w:space="0" w:color="auto"/>
                    <w:left w:val="none" w:sz="0" w:space="0" w:color="auto"/>
                    <w:bottom w:val="none" w:sz="0" w:space="0" w:color="auto"/>
                    <w:right w:val="none" w:sz="0" w:space="0" w:color="auto"/>
                  </w:divBdr>
                </w:div>
                <w:div w:id="1029723736">
                  <w:marLeft w:val="0"/>
                  <w:marRight w:val="0"/>
                  <w:marTop w:val="0"/>
                  <w:marBottom w:val="0"/>
                  <w:divBdr>
                    <w:top w:val="none" w:sz="0" w:space="0" w:color="auto"/>
                    <w:left w:val="none" w:sz="0" w:space="0" w:color="auto"/>
                    <w:bottom w:val="none" w:sz="0" w:space="0" w:color="auto"/>
                    <w:right w:val="none" w:sz="0" w:space="0" w:color="auto"/>
                  </w:divBdr>
                </w:div>
                <w:div w:id="1037003697">
                  <w:marLeft w:val="0"/>
                  <w:marRight w:val="0"/>
                  <w:marTop w:val="0"/>
                  <w:marBottom w:val="0"/>
                  <w:divBdr>
                    <w:top w:val="none" w:sz="0" w:space="0" w:color="auto"/>
                    <w:left w:val="none" w:sz="0" w:space="0" w:color="auto"/>
                    <w:bottom w:val="none" w:sz="0" w:space="0" w:color="auto"/>
                    <w:right w:val="none" w:sz="0" w:space="0" w:color="auto"/>
                  </w:divBdr>
                </w:div>
                <w:div w:id="1068072041">
                  <w:marLeft w:val="0"/>
                  <w:marRight w:val="0"/>
                  <w:marTop w:val="0"/>
                  <w:marBottom w:val="0"/>
                  <w:divBdr>
                    <w:top w:val="none" w:sz="0" w:space="0" w:color="auto"/>
                    <w:left w:val="none" w:sz="0" w:space="0" w:color="auto"/>
                    <w:bottom w:val="none" w:sz="0" w:space="0" w:color="auto"/>
                    <w:right w:val="none" w:sz="0" w:space="0" w:color="auto"/>
                  </w:divBdr>
                </w:div>
                <w:div w:id="1154495588">
                  <w:marLeft w:val="0"/>
                  <w:marRight w:val="0"/>
                  <w:marTop w:val="0"/>
                  <w:marBottom w:val="0"/>
                  <w:divBdr>
                    <w:top w:val="none" w:sz="0" w:space="0" w:color="auto"/>
                    <w:left w:val="none" w:sz="0" w:space="0" w:color="auto"/>
                    <w:bottom w:val="none" w:sz="0" w:space="0" w:color="auto"/>
                    <w:right w:val="none" w:sz="0" w:space="0" w:color="auto"/>
                  </w:divBdr>
                </w:div>
                <w:div w:id="1263801073">
                  <w:marLeft w:val="0"/>
                  <w:marRight w:val="0"/>
                  <w:marTop w:val="0"/>
                  <w:marBottom w:val="0"/>
                  <w:divBdr>
                    <w:top w:val="none" w:sz="0" w:space="0" w:color="auto"/>
                    <w:left w:val="none" w:sz="0" w:space="0" w:color="auto"/>
                    <w:bottom w:val="none" w:sz="0" w:space="0" w:color="auto"/>
                    <w:right w:val="none" w:sz="0" w:space="0" w:color="auto"/>
                  </w:divBdr>
                </w:div>
                <w:div w:id="1268851879">
                  <w:marLeft w:val="0"/>
                  <w:marRight w:val="0"/>
                  <w:marTop w:val="0"/>
                  <w:marBottom w:val="0"/>
                  <w:divBdr>
                    <w:top w:val="none" w:sz="0" w:space="0" w:color="auto"/>
                    <w:left w:val="none" w:sz="0" w:space="0" w:color="auto"/>
                    <w:bottom w:val="none" w:sz="0" w:space="0" w:color="auto"/>
                    <w:right w:val="none" w:sz="0" w:space="0" w:color="auto"/>
                  </w:divBdr>
                </w:div>
                <w:div w:id="1282685802">
                  <w:marLeft w:val="0"/>
                  <w:marRight w:val="0"/>
                  <w:marTop w:val="0"/>
                  <w:marBottom w:val="0"/>
                  <w:divBdr>
                    <w:top w:val="none" w:sz="0" w:space="0" w:color="auto"/>
                    <w:left w:val="none" w:sz="0" w:space="0" w:color="auto"/>
                    <w:bottom w:val="none" w:sz="0" w:space="0" w:color="auto"/>
                    <w:right w:val="none" w:sz="0" w:space="0" w:color="auto"/>
                  </w:divBdr>
                </w:div>
                <w:div w:id="1385104019">
                  <w:marLeft w:val="0"/>
                  <w:marRight w:val="0"/>
                  <w:marTop w:val="0"/>
                  <w:marBottom w:val="0"/>
                  <w:divBdr>
                    <w:top w:val="none" w:sz="0" w:space="0" w:color="auto"/>
                    <w:left w:val="none" w:sz="0" w:space="0" w:color="auto"/>
                    <w:bottom w:val="none" w:sz="0" w:space="0" w:color="auto"/>
                    <w:right w:val="none" w:sz="0" w:space="0" w:color="auto"/>
                  </w:divBdr>
                </w:div>
                <w:div w:id="1496142942">
                  <w:marLeft w:val="0"/>
                  <w:marRight w:val="0"/>
                  <w:marTop w:val="0"/>
                  <w:marBottom w:val="0"/>
                  <w:divBdr>
                    <w:top w:val="none" w:sz="0" w:space="0" w:color="auto"/>
                    <w:left w:val="none" w:sz="0" w:space="0" w:color="auto"/>
                    <w:bottom w:val="none" w:sz="0" w:space="0" w:color="auto"/>
                    <w:right w:val="none" w:sz="0" w:space="0" w:color="auto"/>
                  </w:divBdr>
                </w:div>
                <w:div w:id="1519001116">
                  <w:marLeft w:val="0"/>
                  <w:marRight w:val="0"/>
                  <w:marTop w:val="0"/>
                  <w:marBottom w:val="0"/>
                  <w:divBdr>
                    <w:top w:val="none" w:sz="0" w:space="0" w:color="auto"/>
                    <w:left w:val="none" w:sz="0" w:space="0" w:color="auto"/>
                    <w:bottom w:val="none" w:sz="0" w:space="0" w:color="auto"/>
                    <w:right w:val="none" w:sz="0" w:space="0" w:color="auto"/>
                  </w:divBdr>
                </w:div>
                <w:div w:id="1547838299">
                  <w:marLeft w:val="0"/>
                  <w:marRight w:val="0"/>
                  <w:marTop w:val="0"/>
                  <w:marBottom w:val="0"/>
                  <w:divBdr>
                    <w:top w:val="none" w:sz="0" w:space="0" w:color="auto"/>
                    <w:left w:val="none" w:sz="0" w:space="0" w:color="auto"/>
                    <w:bottom w:val="none" w:sz="0" w:space="0" w:color="auto"/>
                    <w:right w:val="none" w:sz="0" w:space="0" w:color="auto"/>
                  </w:divBdr>
                </w:div>
                <w:div w:id="1723479525">
                  <w:marLeft w:val="0"/>
                  <w:marRight w:val="0"/>
                  <w:marTop w:val="0"/>
                  <w:marBottom w:val="0"/>
                  <w:divBdr>
                    <w:top w:val="none" w:sz="0" w:space="0" w:color="auto"/>
                    <w:left w:val="none" w:sz="0" w:space="0" w:color="auto"/>
                    <w:bottom w:val="none" w:sz="0" w:space="0" w:color="auto"/>
                    <w:right w:val="none" w:sz="0" w:space="0" w:color="auto"/>
                  </w:divBdr>
                </w:div>
                <w:div w:id="1764837281">
                  <w:marLeft w:val="0"/>
                  <w:marRight w:val="0"/>
                  <w:marTop w:val="0"/>
                  <w:marBottom w:val="0"/>
                  <w:divBdr>
                    <w:top w:val="none" w:sz="0" w:space="0" w:color="auto"/>
                    <w:left w:val="none" w:sz="0" w:space="0" w:color="auto"/>
                    <w:bottom w:val="none" w:sz="0" w:space="0" w:color="auto"/>
                    <w:right w:val="none" w:sz="0" w:space="0" w:color="auto"/>
                  </w:divBdr>
                </w:div>
                <w:div w:id="1819178657">
                  <w:marLeft w:val="0"/>
                  <w:marRight w:val="0"/>
                  <w:marTop w:val="0"/>
                  <w:marBottom w:val="0"/>
                  <w:divBdr>
                    <w:top w:val="none" w:sz="0" w:space="0" w:color="auto"/>
                    <w:left w:val="none" w:sz="0" w:space="0" w:color="auto"/>
                    <w:bottom w:val="none" w:sz="0" w:space="0" w:color="auto"/>
                    <w:right w:val="none" w:sz="0" w:space="0" w:color="auto"/>
                  </w:divBdr>
                </w:div>
                <w:div w:id="1824930884">
                  <w:marLeft w:val="0"/>
                  <w:marRight w:val="0"/>
                  <w:marTop w:val="0"/>
                  <w:marBottom w:val="0"/>
                  <w:divBdr>
                    <w:top w:val="none" w:sz="0" w:space="0" w:color="auto"/>
                    <w:left w:val="none" w:sz="0" w:space="0" w:color="auto"/>
                    <w:bottom w:val="none" w:sz="0" w:space="0" w:color="auto"/>
                    <w:right w:val="none" w:sz="0" w:space="0" w:color="auto"/>
                  </w:divBdr>
                </w:div>
                <w:div w:id="1955399643">
                  <w:marLeft w:val="0"/>
                  <w:marRight w:val="0"/>
                  <w:marTop w:val="0"/>
                  <w:marBottom w:val="0"/>
                  <w:divBdr>
                    <w:top w:val="none" w:sz="0" w:space="0" w:color="auto"/>
                    <w:left w:val="none" w:sz="0" w:space="0" w:color="auto"/>
                    <w:bottom w:val="none" w:sz="0" w:space="0" w:color="auto"/>
                    <w:right w:val="none" w:sz="0" w:space="0" w:color="auto"/>
                  </w:divBdr>
                </w:div>
                <w:div w:id="2041857290">
                  <w:marLeft w:val="0"/>
                  <w:marRight w:val="0"/>
                  <w:marTop w:val="0"/>
                  <w:marBottom w:val="0"/>
                  <w:divBdr>
                    <w:top w:val="none" w:sz="0" w:space="0" w:color="auto"/>
                    <w:left w:val="none" w:sz="0" w:space="0" w:color="auto"/>
                    <w:bottom w:val="none" w:sz="0" w:space="0" w:color="auto"/>
                    <w:right w:val="none" w:sz="0" w:space="0" w:color="auto"/>
                  </w:divBdr>
                </w:div>
                <w:div w:id="2108647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6954802">
      <w:bodyDiv w:val="1"/>
      <w:marLeft w:val="0"/>
      <w:marRight w:val="0"/>
      <w:marTop w:val="0"/>
      <w:marBottom w:val="0"/>
      <w:divBdr>
        <w:top w:val="none" w:sz="0" w:space="0" w:color="auto"/>
        <w:left w:val="none" w:sz="0" w:space="0" w:color="auto"/>
        <w:bottom w:val="none" w:sz="0" w:space="0" w:color="auto"/>
        <w:right w:val="none" w:sz="0" w:space="0" w:color="auto"/>
      </w:divBdr>
      <w:divsChild>
        <w:div w:id="1259948117">
          <w:marLeft w:val="0"/>
          <w:marRight w:val="0"/>
          <w:marTop w:val="0"/>
          <w:marBottom w:val="0"/>
          <w:divBdr>
            <w:top w:val="none" w:sz="0" w:space="0" w:color="auto"/>
            <w:left w:val="none" w:sz="0" w:space="0" w:color="auto"/>
            <w:bottom w:val="none" w:sz="0" w:space="0" w:color="auto"/>
            <w:right w:val="none" w:sz="0" w:space="0" w:color="auto"/>
          </w:divBdr>
        </w:div>
        <w:div w:id="236671218">
          <w:marLeft w:val="0"/>
          <w:marRight w:val="0"/>
          <w:marTop w:val="0"/>
          <w:marBottom w:val="0"/>
          <w:divBdr>
            <w:top w:val="none" w:sz="0" w:space="0" w:color="auto"/>
            <w:left w:val="none" w:sz="0" w:space="0" w:color="auto"/>
            <w:bottom w:val="none" w:sz="0" w:space="0" w:color="auto"/>
            <w:right w:val="none" w:sz="0" w:space="0" w:color="auto"/>
          </w:divBdr>
        </w:div>
        <w:div w:id="1975407">
          <w:marLeft w:val="0"/>
          <w:marRight w:val="0"/>
          <w:marTop w:val="0"/>
          <w:marBottom w:val="0"/>
          <w:divBdr>
            <w:top w:val="none" w:sz="0" w:space="0" w:color="auto"/>
            <w:left w:val="none" w:sz="0" w:space="0" w:color="auto"/>
            <w:bottom w:val="none" w:sz="0" w:space="0" w:color="auto"/>
            <w:right w:val="none" w:sz="0" w:space="0" w:color="auto"/>
          </w:divBdr>
        </w:div>
        <w:div w:id="992416704">
          <w:marLeft w:val="0"/>
          <w:marRight w:val="0"/>
          <w:marTop w:val="0"/>
          <w:marBottom w:val="0"/>
          <w:divBdr>
            <w:top w:val="none" w:sz="0" w:space="0" w:color="auto"/>
            <w:left w:val="none" w:sz="0" w:space="0" w:color="auto"/>
            <w:bottom w:val="none" w:sz="0" w:space="0" w:color="auto"/>
            <w:right w:val="none" w:sz="0" w:space="0" w:color="auto"/>
          </w:divBdr>
        </w:div>
        <w:div w:id="884755444">
          <w:marLeft w:val="0"/>
          <w:marRight w:val="0"/>
          <w:marTop w:val="0"/>
          <w:marBottom w:val="0"/>
          <w:divBdr>
            <w:top w:val="none" w:sz="0" w:space="0" w:color="auto"/>
            <w:left w:val="none" w:sz="0" w:space="0" w:color="auto"/>
            <w:bottom w:val="none" w:sz="0" w:space="0" w:color="auto"/>
            <w:right w:val="none" w:sz="0" w:space="0" w:color="auto"/>
          </w:divBdr>
        </w:div>
        <w:div w:id="2017733492">
          <w:marLeft w:val="0"/>
          <w:marRight w:val="0"/>
          <w:marTop w:val="0"/>
          <w:marBottom w:val="0"/>
          <w:divBdr>
            <w:top w:val="none" w:sz="0" w:space="0" w:color="auto"/>
            <w:left w:val="none" w:sz="0" w:space="0" w:color="auto"/>
            <w:bottom w:val="none" w:sz="0" w:space="0" w:color="auto"/>
            <w:right w:val="none" w:sz="0" w:space="0" w:color="auto"/>
          </w:divBdr>
        </w:div>
        <w:div w:id="426849752">
          <w:marLeft w:val="0"/>
          <w:marRight w:val="0"/>
          <w:marTop w:val="0"/>
          <w:marBottom w:val="0"/>
          <w:divBdr>
            <w:top w:val="none" w:sz="0" w:space="0" w:color="auto"/>
            <w:left w:val="none" w:sz="0" w:space="0" w:color="auto"/>
            <w:bottom w:val="none" w:sz="0" w:space="0" w:color="auto"/>
            <w:right w:val="none" w:sz="0" w:space="0" w:color="auto"/>
          </w:divBdr>
        </w:div>
        <w:div w:id="782502924">
          <w:marLeft w:val="0"/>
          <w:marRight w:val="0"/>
          <w:marTop w:val="0"/>
          <w:marBottom w:val="0"/>
          <w:divBdr>
            <w:top w:val="none" w:sz="0" w:space="0" w:color="auto"/>
            <w:left w:val="none" w:sz="0" w:space="0" w:color="auto"/>
            <w:bottom w:val="none" w:sz="0" w:space="0" w:color="auto"/>
            <w:right w:val="none" w:sz="0" w:space="0" w:color="auto"/>
          </w:divBdr>
        </w:div>
      </w:divsChild>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4000871">
      <w:bodyDiv w:val="1"/>
      <w:marLeft w:val="0"/>
      <w:marRight w:val="0"/>
      <w:marTop w:val="0"/>
      <w:marBottom w:val="0"/>
      <w:divBdr>
        <w:top w:val="none" w:sz="0" w:space="0" w:color="auto"/>
        <w:left w:val="none" w:sz="0" w:space="0" w:color="auto"/>
        <w:bottom w:val="none" w:sz="0" w:space="0" w:color="auto"/>
        <w:right w:val="none" w:sz="0" w:space="0" w:color="auto"/>
      </w:divBdr>
      <w:divsChild>
        <w:div w:id="227963319">
          <w:marLeft w:val="0"/>
          <w:marRight w:val="0"/>
          <w:marTop w:val="0"/>
          <w:marBottom w:val="0"/>
          <w:divBdr>
            <w:top w:val="none" w:sz="0" w:space="0" w:color="auto"/>
            <w:left w:val="none" w:sz="0" w:space="0" w:color="auto"/>
            <w:bottom w:val="none" w:sz="0" w:space="0" w:color="auto"/>
            <w:right w:val="none" w:sz="0" w:space="0" w:color="auto"/>
          </w:divBdr>
          <w:divsChild>
            <w:div w:id="992099713">
              <w:marLeft w:val="0"/>
              <w:marRight w:val="0"/>
              <w:marTop w:val="0"/>
              <w:marBottom w:val="0"/>
              <w:divBdr>
                <w:top w:val="none" w:sz="0" w:space="0" w:color="auto"/>
                <w:left w:val="none" w:sz="0" w:space="0" w:color="auto"/>
                <w:bottom w:val="none" w:sz="0" w:space="0" w:color="auto"/>
                <w:right w:val="none" w:sz="0" w:space="0" w:color="auto"/>
              </w:divBdr>
              <w:divsChild>
                <w:div w:id="93055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923485">
      <w:bodyDiv w:val="1"/>
      <w:marLeft w:val="0"/>
      <w:marRight w:val="0"/>
      <w:marTop w:val="0"/>
      <w:marBottom w:val="0"/>
      <w:divBdr>
        <w:top w:val="none" w:sz="0" w:space="0" w:color="auto"/>
        <w:left w:val="none" w:sz="0" w:space="0" w:color="auto"/>
        <w:bottom w:val="none" w:sz="0" w:space="0" w:color="auto"/>
        <w:right w:val="none" w:sz="0" w:space="0" w:color="auto"/>
      </w:divBdr>
    </w:div>
    <w:div w:id="859929231">
      <w:bodyDiv w:val="1"/>
      <w:marLeft w:val="0"/>
      <w:marRight w:val="0"/>
      <w:marTop w:val="0"/>
      <w:marBottom w:val="0"/>
      <w:divBdr>
        <w:top w:val="none" w:sz="0" w:space="0" w:color="auto"/>
        <w:left w:val="none" w:sz="0" w:space="0" w:color="auto"/>
        <w:bottom w:val="none" w:sz="0" w:space="0" w:color="auto"/>
        <w:right w:val="none" w:sz="0" w:space="0" w:color="auto"/>
      </w:divBdr>
    </w:div>
    <w:div w:id="881360561">
      <w:bodyDiv w:val="1"/>
      <w:marLeft w:val="0"/>
      <w:marRight w:val="0"/>
      <w:marTop w:val="0"/>
      <w:marBottom w:val="0"/>
      <w:divBdr>
        <w:top w:val="none" w:sz="0" w:space="0" w:color="auto"/>
        <w:left w:val="none" w:sz="0" w:space="0" w:color="auto"/>
        <w:bottom w:val="none" w:sz="0" w:space="0" w:color="auto"/>
        <w:right w:val="none" w:sz="0" w:space="0" w:color="auto"/>
      </w:divBdr>
    </w:div>
    <w:div w:id="918291194">
      <w:bodyDiv w:val="1"/>
      <w:marLeft w:val="0"/>
      <w:marRight w:val="0"/>
      <w:marTop w:val="0"/>
      <w:marBottom w:val="0"/>
      <w:divBdr>
        <w:top w:val="none" w:sz="0" w:space="0" w:color="auto"/>
        <w:left w:val="none" w:sz="0" w:space="0" w:color="auto"/>
        <w:bottom w:val="none" w:sz="0" w:space="0" w:color="auto"/>
        <w:right w:val="none" w:sz="0" w:space="0" w:color="auto"/>
      </w:divBdr>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1038092316">
      <w:bodyDiv w:val="1"/>
      <w:marLeft w:val="0"/>
      <w:marRight w:val="0"/>
      <w:marTop w:val="0"/>
      <w:marBottom w:val="0"/>
      <w:divBdr>
        <w:top w:val="none" w:sz="0" w:space="0" w:color="auto"/>
        <w:left w:val="none" w:sz="0" w:space="0" w:color="auto"/>
        <w:bottom w:val="none" w:sz="0" w:space="0" w:color="auto"/>
        <w:right w:val="none" w:sz="0" w:space="0" w:color="auto"/>
      </w:divBdr>
      <w:divsChild>
        <w:div w:id="1493910620">
          <w:marLeft w:val="0"/>
          <w:marRight w:val="0"/>
          <w:marTop w:val="0"/>
          <w:marBottom w:val="0"/>
          <w:divBdr>
            <w:top w:val="none" w:sz="0" w:space="0" w:color="auto"/>
            <w:left w:val="none" w:sz="0" w:space="0" w:color="auto"/>
            <w:bottom w:val="none" w:sz="0" w:space="0" w:color="auto"/>
            <w:right w:val="none" w:sz="0" w:space="0" w:color="auto"/>
          </w:divBdr>
        </w:div>
        <w:div w:id="213347530">
          <w:marLeft w:val="0"/>
          <w:marRight w:val="0"/>
          <w:marTop w:val="0"/>
          <w:marBottom w:val="0"/>
          <w:divBdr>
            <w:top w:val="none" w:sz="0" w:space="0" w:color="auto"/>
            <w:left w:val="none" w:sz="0" w:space="0" w:color="auto"/>
            <w:bottom w:val="none" w:sz="0" w:space="0" w:color="auto"/>
            <w:right w:val="none" w:sz="0" w:space="0" w:color="auto"/>
          </w:divBdr>
        </w:div>
        <w:div w:id="842016615">
          <w:marLeft w:val="0"/>
          <w:marRight w:val="0"/>
          <w:marTop w:val="0"/>
          <w:marBottom w:val="0"/>
          <w:divBdr>
            <w:top w:val="none" w:sz="0" w:space="0" w:color="auto"/>
            <w:left w:val="none" w:sz="0" w:space="0" w:color="auto"/>
            <w:bottom w:val="none" w:sz="0" w:space="0" w:color="auto"/>
            <w:right w:val="none" w:sz="0" w:space="0" w:color="auto"/>
          </w:divBdr>
        </w:div>
      </w:divsChild>
    </w:div>
    <w:div w:id="1055738153">
      <w:bodyDiv w:val="1"/>
      <w:marLeft w:val="0"/>
      <w:marRight w:val="0"/>
      <w:marTop w:val="0"/>
      <w:marBottom w:val="0"/>
      <w:divBdr>
        <w:top w:val="none" w:sz="0" w:space="0" w:color="auto"/>
        <w:left w:val="none" w:sz="0" w:space="0" w:color="auto"/>
        <w:bottom w:val="none" w:sz="0" w:space="0" w:color="auto"/>
        <w:right w:val="none" w:sz="0" w:space="0" w:color="auto"/>
      </w:divBdr>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094739968">
      <w:bodyDiv w:val="1"/>
      <w:marLeft w:val="0"/>
      <w:marRight w:val="0"/>
      <w:marTop w:val="0"/>
      <w:marBottom w:val="0"/>
      <w:divBdr>
        <w:top w:val="none" w:sz="0" w:space="0" w:color="auto"/>
        <w:left w:val="none" w:sz="0" w:space="0" w:color="auto"/>
        <w:bottom w:val="none" w:sz="0" w:space="0" w:color="auto"/>
        <w:right w:val="none" w:sz="0" w:space="0" w:color="auto"/>
      </w:divBdr>
    </w:div>
    <w:div w:id="1169755078">
      <w:bodyDiv w:val="1"/>
      <w:marLeft w:val="0"/>
      <w:marRight w:val="0"/>
      <w:marTop w:val="0"/>
      <w:marBottom w:val="0"/>
      <w:divBdr>
        <w:top w:val="none" w:sz="0" w:space="0" w:color="auto"/>
        <w:left w:val="none" w:sz="0" w:space="0" w:color="auto"/>
        <w:bottom w:val="none" w:sz="0" w:space="0" w:color="auto"/>
        <w:right w:val="none" w:sz="0" w:space="0" w:color="auto"/>
      </w:divBdr>
    </w:div>
    <w:div w:id="1262879425">
      <w:bodyDiv w:val="1"/>
      <w:marLeft w:val="0"/>
      <w:marRight w:val="0"/>
      <w:marTop w:val="0"/>
      <w:marBottom w:val="0"/>
      <w:divBdr>
        <w:top w:val="none" w:sz="0" w:space="0" w:color="auto"/>
        <w:left w:val="none" w:sz="0" w:space="0" w:color="auto"/>
        <w:bottom w:val="none" w:sz="0" w:space="0" w:color="auto"/>
        <w:right w:val="none" w:sz="0" w:space="0" w:color="auto"/>
      </w:divBdr>
      <w:divsChild>
        <w:div w:id="296302921">
          <w:marLeft w:val="0"/>
          <w:marRight w:val="0"/>
          <w:marTop w:val="0"/>
          <w:marBottom w:val="0"/>
          <w:divBdr>
            <w:top w:val="none" w:sz="0" w:space="0" w:color="auto"/>
            <w:left w:val="none" w:sz="0" w:space="0" w:color="auto"/>
            <w:bottom w:val="none" w:sz="0" w:space="0" w:color="auto"/>
            <w:right w:val="none" w:sz="0" w:space="0" w:color="auto"/>
          </w:divBdr>
          <w:divsChild>
            <w:div w:id="1673340738">
              <w:marLeft w:val="0"/>
              <w:marRight w:val="0"/>
              <w:marTop w:val="0"/>
              <w:marBottom w:val="0"/>
              <w:divBdr>
                <w:top w:val="none" w:sz="0" w:space="0" w:color="auto"/>
                <w:left w:val="none" w:sz="0" w:space="0" w:color="auto"/>
                <w:bottom w:val="none" w:sz="0" w:space="0" w:color="auto"/>
                <w:right w:val="none" w:sz="0" w:space="0" w:color="auto"/>
              </w:divBdr>
              <w:divsChild>
                <w:div w:id="179910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229142">
      <w:bodyDiv w:val="1"/>
      <w:marLeft w:val="0"/>
      <w:marRight w:val="0"/>
      <w:marTop w:val="0"/>
      <w:marBottom w:val="0"/>
      <w:divBdr>
        <w:top w:val="none" w:sz="0" w:space="0" w:color="auto"/>
        <w:left w:val="none" w:sz="0" w:space="0" w:color="auto"/>
        <w:bottom w:val="none" w:sz="0" w:space="0" w:color="auto"/>
        <w:right w:val="none" w:sz="0" w:space="0" w:color="auto"/>
      </w:divBdr>
      <w:divsChild>
        <w:div w:id="1171062913">
          <w:marLeft w:val="0"/>
          <w:marRight w:val="0"/>
          <w:marTop w:val="15"/>
          <w:marBottom w:val="0"/>
          <w:divBdr>
            <w:top w:val="none" w:sz="0" w:space="0" w:color="auto"/>
            <w:left w:val="none" w:sz="0" w:space="0" w:color="auto"/>
            <w:bottom w:val="none" w:sz="0" w:space="0" w:color="auto"/>
            <w:right w:val="none" w:sz="0" w:space="0" w:color="auto"/>
          </w:divBdr>
          <w:divsChild>
            <w:div w:id="403528288">
              <w:marLeft w:val="0"/>
              <w:marRight w:val="0"/>
              <w:marTop w:val="0"/>
              <w:marBottom w:val="0"/>
              <w:divBdr>
                <w:top w:val="none" w:sz="0" w:space="0" w:color="auto"/>
                <w:left w:val="none" w:sz="0" w:space="0" w:color="auto"/>
                <w:bottom w:val="none" w:sz="0" w:space="0" w:color="auto"/>
                <w:right w:val="none" w:sz="0" w:space="0" w:color="auto"/>
              </w:divBdr>
              <w:divsChild>
                <w:div w:id="1832522642">
                  <w:marLeft w:val="0"/>
                  <w:marRight w:val="0"/>
                  <w:marTop w:val="0"/>
                  <w:marBottom w:val="0"/>
                  <w:divBdr>
                    <w:top w:val="none" w:sz="0" w:space="0" w:color="auto"/>
                    <w:left w:val="none" w:sz="0" w:space="0" w:color="auto"/>
                    <w:bottom w:val="none" w:sz="0" w:space="0" w:color="auto"/>
                    <w:right w:val="none" w:sz="0" w:space="0" w:color="auto"/>
                  </w:divBdr>
                </w:div>
                <w:div w:id="1145052557">
                  <w:marLeft w:val="0"/>
                  <w:marRight w:val="0"/>
                  <w:marTop w:val="0"/>
                  <w:marBottom w:val="0"/>
                  <w:divBdr>
                    <w:top w:val="none" w:sz="0" w:space="0" w:color="auto"/>
                    <w:left w:val="none" w:sz="0" w:space="0" w:color="auto"/>
                    <w:bottom w:val="none" w:sz="0" w:space="0" w:color="auto"/>
                    <w:right w:val="none" w:sz="0" w:space="0" w:color="auto"/>
                  </w:divBdr>
                </w:div>
                <w:div w:id="911280603">
                  <w:marLeft w:val="0"/>
                  <w:marRight w:val="0"/>
                  <w:marTop w:val="0"/>
                  <w:marBottom w:val="0"/>
                  <w:divBdr>
                    <w:top w:val="none" w:sz="0" w:space="0" w:color="auto"/>
                    <w:left w:val="none" w:sz="0" w:space="0" w:color="auto"/>
                    <w:bottom w:val="none" w:sz="0" w:space="0" w:color="auto"/>
                    <w:right w:val="none" w:sz="0" w:space="0" w:color="auto"/>
                  </w:divBdr>
                </w:div>
                <w:div w:id="772631175">
                  <w:marLeft w:val="0"/>
                  <w:marRight w:val="0"/>
                  <w:marTop w:val="0"/>
                  <w:marBottom w:val="0"/>
                  <w:divBdr>
                    <w:top w:val="none" w:sz="0" w:space="0" w:color="auto"/>
                    <w:left w:val="none" w:sz="0" w:space="0" w:color="auto"/>
                    <w:bottom w:val="none" w:sz="0" w:space="0" w:color="auto"/>
                    <w:right w:val="none" w:sz="0" w:space="0" w:color="auto"/>
                  </w:divBdr>
                </w:div>
                <w:div w:id="1800370181">
                  <w:marLeft w:val="0"/>
                  <w:marRight w:val="0"/>
                  <w:marTop w:val="0"/>
                  <w:marBottom w:val="0"/>
                  <w:divBdr>
                    <w:top w:val="none" w:sz="0" w:space="0" w:color="auto"/>
                    <w:left w:val="none" w:sz="0" w:space="0" w:color="auto"/>
                    <w:bottom w:val="none" w:sz="0" w:space="0" w:color="auto"/>
                    <w:right w:val="none" w:sz="0" w:space="0" w:color="auto"/>
                  </w:divBdr>
                </w:div>
                <w:div w:id="214124681">
                  <w:marLeft w:val="0"/>
                  <w:marRight w:val="0"/>
                  <w:marTop w:val="0"/>
                  <w:marBottom w:val="0"/>
                  <w:divBdr>
                    <w:top w:val="none" w:sz="0" w:space="0" w:color="auto"/>
                    <w:left w:val="none" w:sz="0" w:space="0" w:color="auto"/>
                    <w:bottom w:val="none" w:sz="0" w:space="0" w:color="auto"/>
                    <w:right w:val="none" w:sz="0" w:space="0" w:color="auto"/>
                  </w:divBdr>
                </w:div>
                <w:div w:id="1500660933">
                  <w:marLeft w:val="0"/>
                  <w:marRight w:val="0"/>
                  <w:marTop w:val="0"/>
                  <w:marBottom w:val="0"/>
                  <w:divBdr>
                    <w:top w:val="none" w:sz="0" w:space="0" w:color="auto"/>
                    <w:left w:val="none" w:sz="0" w:space="0" w:color="auto"/>
                    <w:bottom w:val="none" w:sz="0" w:space="0" w:color="auto"/>
                    <w:right w:val="none" w:sz="0" w:space="0" w:color="auto"/>
                  </w:divBdr>
                </w:div>
                <w:div w:id="1589001720">
                  <w:marLeft w:val="0"/>
                  <w:marRight w:val="0"/>
                  <w:marTop w:val="0"/>
                  <w:marBottom w:val="0"/>
                  <w:divBdr>
                    <w:top w:val="none" w:sz="0" w:space="0" w:color="auto"/>
                    <w:left w:val="none" w:sz="0" w:space="0" w:color="auto"/>
                    <w:bottom w:val="none" w:sz="0" w:space="0" w:color="auto"/>
                    <w:right w:val="none" w:sz="0" w:space="0" w:color="auto"/>
                  </w:divBdr>
                </w:div>
                <w:div w:id="1558585638">
                  <w:marLeft w:val="0"/>
                  <w:marRight w:val="0"/>
                  <w:marTop w:val="0"/>
                  <w:marBottom w:val="0"/>
                  <w:divBdr>
                    <w:top w:val="none" w:sz="0" w:space="0" w:color="auto"/>
                    <w:left w:val="none" w:sz="0" w:space="0" w:color="auto"/>
                    <w:bottom w:val="none" w:sz="0" w:space="0" w:color="auto"/>
                    <w:right w:val="none" w:sz="0" w:space="0" w:color="auto"/>
                  </w:divBdr>
                </w:div>
                <w:div w:id="887107653">
                  <w:marLeft w:val="0"/>
                  <w:marRight w:val="0"/>
                  <w:marTop w:val="0"/>
                  <w:marBottom w:val="0"/>
                  <w:divBdr>
                    <w:top w:val="none" w:sz="0" w:space="0" w:color="auto"/>
                    <w:left w:val="none" w:sz="0" w:space="0" w:color="auto"/>
                    <w:bottom w:val="none" w:sz="0" w:space="0" w:color="auto"/>
                    <w:right w:val="none" w:sz="0" w:space="0" w:color="auto"/>
                  </w:divBdr>
                </w:div>
                <w:div w:id="1888031264">
                  <w:marLeft w:val="0"/>
                  <w:marRight w:val="0"/>
                  <w:marTop w:val="0"/>
                  <w:marBottom w:val="0"/>
                  <w:divBdr>
                    <w:top w:val="none" w:sz="0" w:space="0" w:color="auto"/>
                    <w:left w:val="none" w:sz="0" w:space="0" w:color="auto"/>
                    <w:bottom w:val="none" w:sz="0" w:space="0" w:color="auto"/>
                    <w:right w:val="none" w:sz="0" w:space="0" w:color="auto"/>
                  </w:divBdr>
                </w:div>
                <w:div w:id="1723674300">
                  <w:marLeft w:val="0"/>
                  <w:marRight w:val="0"/>
                  <w:marTop w:val="0"/>
                  <w:marBottom w:val="0"/>
                  <w:divBdr>
                    <w:top w:val="none" w:sz="0" w:space="0" w:color="auto"/>
                    <w:left w:val="none" w:sz="0" w:space="0" w:color="auto"/>
                    <w:bottom w:val="none" w:sz="0" w:space="0" w:color="auto"/>
                    <w:right w:val="none" w:sz="0" w:space="0" w:color="auto"/>
                  </w:divBdr>
                </w:div>
                <w:div w:id="1780758496">
                  <w:marLeft w:val="0"/>
                  <w:marRight w:val="0"/>
                  <w:marTop w:val="0"/>
                  <w:marBottom w:val="0"/>
                  <w:divBdr>
                    <w:top w:val="none" w:sz="0" w:space="0" w:color="auto"/>
                    <w:left w:val="none" w:sz="0" w:space="0" w:color="auto"/>
                    <w:bottom w:val="none" w:sz="0" w:space="0" w:color="auto"/>
                    <w:right w:val="none" w:sz="0" w:space="0" w:color="auto"/>
                  </w:divBdr>
                </w:div>
                <w:div w:id="605961716">
                  <w:marLeft w:val="0"/>
                  <w:marRight w:val="0"/>
                  <w:marTop w:val="0"/>
                  <w:marBottom w:val="0"/>
                  <w:divBdr>
                    <w:top w:val="none" w:sz="0" w:space="0" w:color="auto"/>
                    <w:left w:val="none" w:sz="0" w:space="0" w:color="auto"/>
                    <w:bottom w:val="none" w:sz="0" w:space="0" w:color="auto"/>
                    <w:right w:val="none" w:sz="0" w:space="0" w:color="auto"/>
                  </w:divBdr>
                </w:div>
                <w:div w:id="1138230281">
                  <w:marLeft w:val="0"/>
                  <w:marRight w:val="0"/>
                  <w:marTop w:val="0"/>
                  <w:marBottom w:val="0"/>
                  <w:divBdr>
                    <w:top w:val="none" w:sz="0" w:space="0" w:color="auto"/>
                    <w:left w:val="none" w:sz="0" w:space="0" w:color="auto"/>
                    <w:bottom w:val="none" w:sz="0" w:space="0" w:color="auto"/>
                    <w:right w:val="none" w:sz="0" w:space="0" w:color="auto"/>
                  </w:divBdr>
                </w:div>
                <w:div w:id="1758478355">
                  <w:marLeft w:val="0"/>
                  <w:marRight w:val="0"/>
                  <w:marTop w:val="0"/>
                  <w:marBottom w:val="0"/>
                  <w:divBdr>
                    <w:top w:val="none" w:sz="0" w:space="0" w:color="auto"/>
                    <w:left w:val="none" w:sz="0" w:space="0" w:color="auto"/>
                    <w:bottom w:val="none" w:sz="0" w:space="0" w:color="auto"/>
                    <w:right w:val="none" w:sz="0" w:space="0" w:color="auto"/>
                  </w:divBdr>
                </w:div>
                <w:div w:id="975986220">
                  <w:marLeft w:val="0"/>
                  <w:marRight w:val="0"/>
                  <w:marTop w:val="0"/>
                  <w:marBottom w:val="0"/>
                  <w:divBdr>
                    <w:top w:val="none" w:sz="0" w:space="0" w:color="auto"/>
                    <w:left w:val="none" w:sz="0" w:space="0" w:color="auto"/>
                    <w:bottom w:val="none" w:sz="0" w:space="0" w:color="auto"/>
                    <w:right w:val="none" w:sz="0" w:space="0" w:color="auto"/>
                  </w:divBdr>
                </w:div>
                <w:div w:id="1942489814">
                  <w:marLeft w:val="0"/>
                  <w:marRight w:val="0"/>
                  <w:marTop w:val="0"/>
                  <w:marBottom w:val="0"/>
                  <w:divBdr>
                    <w:top w:val="none" w:sz="0" w:space="0" w:color="auto"/>
                    <w:left w:val="none" w:sz="0" w:space="0" w:color="auto"/>
                    <w:bottom w:val="none" w:sz="0" w:space="0" w:color="auto"/>
                    <w:right w:val="none" w:sz="0" w:space="0" w:color="auto"/>
                  </w:divBdr>
                </w:div>
                <w:div w:id="876282959">
                  <w:marLeft w:val="0"/>
                  <w:marRight w:val="0"/>
                  <w:marTop w:val="0"/>
                  <w:marBottom w:val="0"/>
                  <w:divBdr>
                    <w:top w:val="none" w:sz="0" w:space="0" w:color="auto"/>
                    <w:left w:val="none" w:sz="0" w:space="0" w:color="auto"/>
                    <w:bottom w:val="none" w:sz="0" w:space="0" w:color="auto"/>
                    <w:right w:val="none" w:sz="0" w:space="0" w:color="auto"/>
                  </w:divBdr>
                </w:div>
                <w:div w:id="1590773921">
                  <w:marLeft w:val="0"/>
                  <w:marRight w:val="0"/>
                  <w:marTop w:val="0"/>
                  <w:marBottom w:val="0"/>
                  <w:divBdr>
                    <w:top w:val="none" w:sz="0" w:space="0" w:color="auto"/>
                    <w:left w:val="none" w:sz="0" w:space="0" w:color="auto"/>
                    <w:bottom w:val="none" w:sz="0" w:space="0" w:color="auto"/>
                    <w:right w:val="none" w:sz="0" w:space="0" w:color="auto"/>
                  </w:divBdr>
                </w:div>
                <w:div w:id="1728265637">
                  <w:marLeft w:val="0"/>
                  <w:marRight w:val="0"/>
                  <w:marTop w:val="0"/>
                  <w:marBottom w:val="0"/>
                  <w:divBdr>
                    <w:top w:val="none" w:sz="0" w:space="0" w:color="auto"/>
                    <w:left w:val="none" w:sz="0" w:space="0" w:color="auto"/>
                    <w:bottom w:val="none" w:sz="0" w:space="0" w:color="auto"/>
                    <w:right w:val="none" w:sz="0" w:space="0" w:color="auto"/>
                  </w:divBdr>
                </w:div>
                <w:div w:id="44180855">
                  <w:marLeft w:val="0"/>
                  <w:marRight w:val="0"/>
                  <w:marTop w:val="0"/>
                  <w:marBottom w:val="0"/>
                  <w:divBdr>
                    <w:top w:val="none" w:sz="0" w:space="0" w:color="auto"/>
                    <w:left w:val="none" w:sz="0" w:space="0" w:color="auto"/>
                    <w:bottom w:val="none" w:sz="0" w:space="0" w:color="auto"/>
                    <w:right w:val="none" w:sz="0" w:space="0" w:color="auto"/>
                  </w:divBdr>
                </w:div>
                <w:div w:id="1278290358">
                  <w:marLeft w:val="0"/>
                  <w:marRight w:val="0"/>
                  <w:marTop w:val="0"/>
                  <w:marBottom w:val="0"/>
                  <w:divBdr>
                    <w:top w:val="none" w:sz="0" w:space="0" w:color="auto"/>
                    <w:left w:val="none" w:sz="0" w:space="0" w:color="auto"/>
                    <w:bottom w:val="none" w:sz="0" w:space="0" w:color="auto"/>
                    <w:right w:val="none" w:sz="0" w:space="0" w:color="auto"/>
                  </w:divBdr>
                </w:div>
                <w:div w:id="947469496">
                  <w:marLeft w:val="0"/>
                  <w:marRight w:val="0"/>
                  <w:marTop w:val="0"/>
                  <w:marBottom w:val="0"/>
                  <w:divBdr>
                    <w:top w:val="none" w:sz="0" w:space="0" w:color="auto"/>
                    <w:left w:val="none" w:sz="0" w:space="0" w:color="auto"/>
                    <w:bottom w:val="none" w:sz="0" w:space="0" w:color="auto"/>
                    <w:right w:val="none" w:sz="0" w:space="0" w:color="auto"/>
                  </w:divBdr>
                </w:div>
                <w:div w:id="1749499384">
                  <w:marLeft w:val="0"/>
                  <w:marRight w:val="0"/>
                  <w:marTop w:val="0"/>
                  <w:marBottom w:val="0"/>
                  <w:divBdr>
                    <w:top w:val="none" w:sz="0" w:space="0" w:color="auto"/>
                    <w:left w:val="none" w:sz="0" w:space="0" w:color="auto"/>
                    <w:bottom w:val="none" w:sz="0" w:space="0" w:color="auto"/>
                    <w:right w:val="none" w:sz="0" w:space="0" w:color="auto"/>
                  </w:divBdr>
                </w:div>
                <w:div w:id="1523937644">
                  <w:marLeft w:val="0"/>
                  <w:marRight w:val="0"/>
                  <w:marTop w:val="0"/>
                  <w:marBottom w:val="0"/>
                  <w:divBdr>
                    <w:top w:val="none" w:sz="0" w:space="0" w:color="auto"/>
                    <w:left w:val="none" w:sz="0" w:space="0" w:color="auto"/>
                    <w:bottom w:val="none" w:sz="0" w:space="0" w:color="auto"/>
                    <w:right w:val="none" w:sz="0" w:space="0" w:color="auto"/>
                  </w:divBdr>
                </w:div>
                <w:div w:id="1621760018">
                  <w:marLeft w:val="0"/>
                  <w:marRight w:val="0"/>
                  <w:marTop w:val="0"/>
                  <w:marBottom w:val="0"/>
                  <w:divBdr>
                    <w:top w:val="none" w:sz="0" w:space="0" w:color="auto"/>
                    <w:left w:val="none" w:sz="0" w:space="0" w:color="auto"/>
                    <w:bottom w:val="none" w:sz="0" w:space="0" w:color="auto"/>
                    <w:right w:val="none" w:sz="0" w:space="0" w:color="auto"/>
                  </w:divBdr>
                </w:div>
                <w:div w:id="1943414694">
                  <w:marLeft w:val="0"/>
                  <w:marRight w:val="0"/>
                  <w:marTop w:val="0"/>
                  <w:marBottom w:val="0"/>
                  <w:divBdr>
                    <w:top w:val="none" w:sz="0" w:space="0" w:color="auto"/>
                    <w:left w:val="none" w:sz="0" w:space="0" w:color="auto"/>
                    <w:bottom w:val="none" w:sz="0" w:space="0" w:color="auto"/>
                    <w:right w:val="none" w:sz="0" w:space="0" w:color="auto"/>
                  </w:divBdr>
                </w:div>
                <w:div w:id="677930550">
                  <w:marLeft w:val="0"/>
                  <w:marRight w:val="0"/>
                  <w:marTop w:val="0"/>
                  <w:marBottom w:val="0"/>
                  <w:divBdr>
                    <w:top w:val="none" w:sz="0" w:space="0" w:color="auto"/>
                    <w:left w:val="none" w:sz="0" w:space="0" w:color="auto"/>
                    <w:bottom w:val="none" w:sz="0" w:space="0" w:color="auto"/>
                    <w:right w:val="none" w:sz="0" w:space="0" w:color="auto"/>
                  </w:divBdr>
                </w:div>
                <w:div w:id="1196694343">
                  <w:marLeft w:val="0"/>
                  <w:marRight w:val="0"/>
                  <w:marTop w:val="0"/>
                  <w:marBottom w:val="0"/>
                  <w:divBdr>
                    <w:top w:val="none" w:sz="0" w:space="0" w:color="auto"/>
                    <w:left w:val="none" w:sz="0" w:space="0" w:color="auto"/>
                    <w:bottom w:val="none" w:sz="0" w:space="0" w:color="auto"/>
                    <w:right w:val="none" w:sz="0" w:space="0" w:color="auto"/>
                  </w:divBdr>
                </w:div>
                <w:div w:id="173804303">
                  <w:marLeft w:val="0"/>
                  <w:marRight w:val="0"/>
                  <w:marTop w:val="0"/>
                  <w:marBottom w:val="0"/>
                  <w:divBdr>
                    <w:top w:val="none" w:sz="0" w:space="0" w:color="auto"/>
                    <w:left w:val="none" w:sz="0" w:space="0" w:color="auto"/>
                    <w:bottom w:val="none" w:sz="0" w:space="0" w:color="auto"/>
                    <w:right w:val="none" w:sz="0" w:space="0" w:color="auto"/>
                  </w:divBdr>
                </w:div>
                <w:div w:id="1015300394">
                  <w:marLeft w:val="0"/>
                  <w:marRight w:val="0"/>
                  <w:marTop w:val="0"/>
                  <w:marBottom w:val="0"/>
                  <w:divBdr>
                    <w:top w:val="none" w:sz="0" w:space="0" w:color="auto"/>
                    <w:left w:val="none" w:sz="0" w:space="0" w:color="auto"/>
                    <w:bottom w:val="none" w:sz="0" w:space="0" w:color="auto"/>
                    <w:right w:val="none" w:sz="0" w:space="0" w:color="auto"/>
                  </w:divBdr>
                </w:div>
                <w:div w:id="1997686618">
                  <w:marLeft w:val="0"/>
                  <w:marRight w:val="0"/>
                  <w:marTop w:val="0"/>
                  <w:marBottom w:val="0"/>
                  <w:divBdr>
                    <w:top w:val="none" w:sz="0" w:space="0" w:color="auto"/>
                    <w:left w:val="none" w:sz="0" w:space="0" w:color="auto"/>
                    <w:bottom w:val="none" w:sz="0" w:space="0" w:color="auto"/>
                    <w:right w:val="none" w:sz="0" w:space="0" w:color="auto"/>
                  </w:divBdr>
                </w:div>
                <w:div w:id="1709719908">
                  <w:marLeft w:val="0"/>
                  <w:marRight w:val="0"/>
                  <w:marTop w:val="0"/>
                  <w:marBottom w:val="0"/>
                  <w:divBdr>
                    <w:top w:val="none" w:sz="0" w:space="0" w:color="auto"/>
                    <w:left w:val="none" w:sz="0" w:space="0" w:color="auto"/>
                    <w:bottom w:val="none" w:sz="0" w:space="0" w:color="auto"/>
                    <w:right w:val="none" w:sz="0" w:space="0" w:color="auto"/>
                  </w:divBdr>
                </w:div>
                <w:div w:id="605577841">
                  <w:marLeft w:val="0"/>
                  <w:marRight w:val="0"/>
                  <w:marTop w:val="0"/>
                  <w:marBottom w:val="0"/>
                  <w:divBdr>
                    <w:top w:val="none" w:sz="0" w:space="0" w:color="auto"/>
                    <w:left w:val="none" w:sz="0" w:space="0" w:color="auto"/>
                    <w:bottom w:val="none" w:sz="0" w:space="0" w:color="auto"/>
                    <w:right w:val="none" w:sz="0" w:space="0" w:color="auto"/>
                  </w:divBdr>
                </w:div>
                <w:div w:id="822740671">
                  <w:marLeft w:val="0"/>
                  <w:marRight w:val="0"/>
                  <w:marTop w:val="0"/>
                  <w:marBottom w:val="0"/>
                  <w:divBdr>
                    <w:top w:val="none" w:sz="0" w:space="0" w:color="auto"/>
                    <w:left w:val="none" w:sz="0" w:space="0" w:color="auto"/>
                    <w:bottom w:val="none" w:sz="0" w:space="0" w:color="auto"/>
                    <w:right w:val="none" w:sz="0" w:space="0" w:color="auto"/>
                  </w:divBdr>
                </w:div>
                <w:div w:id="1571160590">
                  <w:marLeft w:val="0"/>
                  <w:marRight w:val="0"/>
                  <w:marTop w:val="0"/>
                  <w:marBottom w:val="0"/>
                  <w:divBdr>
                    <w:top w:val="none" w:sz="0" w:space="0" w:color="auto"/>
                    <w:left w:val="none" w:sz="0" w:space="0" w:color="auto"/>
                    <w:bottom w:val="none" w:sz="0" w:space="0" w:color="auto"/>
                    <w:right w:val="none" w:sz="0" w:space="0" w:color="auto"/>
                  </w:divBdr>
                </w:div>
                <w:div w:id="1710030983">
                  <w:marLeft w:val="0"/>
                  <w:marRight w:val="0"/>
                  <w:marTop w:val="0"/>
                  <w:marBottom w:val="0"/>
                  <w:divBdr>
                    <w:top w:val="none" w:sz="0" w:space="0" w:color="auto"/>
                    <w:left w:val="none" w:sz="0" w:space="0" w:color="auto"/>
                    <w:bottom w:val="none" w:sz="0" w:space="0" w:color="auto"/>
                    <w:right w:val="none" w:sz="0" w:space="0" w:color="auto"/>
                  </w:divBdr>
                </w:div>
                <w:div w:id="1430469785">
                  <w:marLeft w:val="0"/>
                  <w:marRight w:val="0"/>
                  <w:marTop w:val="0"/>
                  <w:marBottom w:val="0"/>
                  <w:divBdr>
                    <w:top w:val="none" w:sz="0" w:space="0" w:color="auto"/>
                    <w:left w:val="none" w:sz="0" w:space="0" w:color="auto"/>
                    <w:bottom w:val="none" w:sz="0" w:space="0" w:color="auto"/>
                    <w:right w:val="none" w:sz="0" w:space="0" w:color="auto"/>
                  </w:divBdr>
                </w:div>
                <w:div w:id="1217821051">
                  <w:marLeft w:val="0"/>
                  <w:marRight w:val="0"/>
                  <w:marTop w:val="0"/>
                  <w:marBottom w:val="0"/>
                  <w:divBdr>
                    <w:top w:val="none" w:sz="0" w:space="0" w:color="auto"/>
                    <w:left w:val="none" w:sz="0" w:space="0" w:color="auto"/>
                    <w:bottom w:val="none" w:sz="0" w:space="0" w:color="auto"/>
                    <w:right w:val="none" w:sz="0" w:space="0" w:color="auto"/>
                  </w:divBdr>
                </w:div>
                <w:div w:id="227034317">
                  <w:marLeft w:val="0"/>
                  <w:marRight w:val="0"/>
                  <w:marTop w:val="0"/>
                  <w:marBottom w:val="0"/>
                  <w:divBdr>
                    <w:top w:val="none" w:sz="0" w:space="0" w:color="auto"/>
                    <w:left w:val="none" w:sz="0" w:space="0" w:color="auto"/>
                    <w:bottom w:val="none" w:sz="0" w:space="0" w:color="auto"/>
                    <w:right w:val="none" w:sz="0" w:space="0" w:color="auto"/>
                  </w:divBdr>
                </w:div>
                <w:div w:id="192230611">
                  <w:marLeft w:val="0"/>
                  <w:marRight w:val="0"/>
                  <w:marTop w:val="0"/>
                  <w:marBottom w:val="0"/>
                  <w:divBdr>
                    <w:top w:val="none" w:sz="0" w:space="0" w:color="auto"/>
                    <w:left w:val="none" w:sz="0" w:space="0" w:color="auto"/>
                    <w:bottom w:val="none" w:sz="0" w:space="0" w:color="auto"/>
                    <w:right w:val="none" w:sz="0" w:space="0" w:color="auto"/>
                  </w:divBdr>
                </w:div>
                <w:div w:id="555356136">
                  <w:marLeft w:val="0"/>
                  <w:marRight w:val="0"/>
                  <w:marTop w:val="0"/>
                  <w:marBottom w:val="0"/>
                  <w:divBdr>
                    <w:top w:val="none" w:sz="0" w:space="0" w:color="auto"/>
                    <w:left w:val="none" w:sz="0" w:space="0" w:color="auto"/>
                    <w:bottom w:val="none" w:sz="0" w:space="0" w:color="auto"/>
                    <w:right w:val="none" w:sz="0" w:space="0" w:color="auto"/>
                  </w:divBdr>
                </w:div>
                <w:div w:id="926764053">
                  <w:marLeft w:val="0"/>
                  <w:marRight w:val="0"/>
                  <w:marTop w:val="0"/>
                  <w:marBottom w:val="0"/>
                  <w:divBdr>
                    <w:top w:val="none" w:sz="0" w:space="0" w:color="auto"/>
                    <w:left w:val="none" w:sz="0" w:space="0" w:color="auto"/>
                    <w:bottom w:val="none" w:sz="0" w:space="0" w:color="auto"/>
                    <w:right w:val="none" w:sz="0" w:space="0" w:color="auto"/>
                  </w:divBdr>
                </w:div>
                <w:div w:id="1675448670">
                  <w:marLeft w:val="0"/>
                  <w:marRight w:val="0"/>
                  <w:marTop w:val="0"/>
                  <w:marBottom w:val="0"/>
                  <w:divBdr>
                    <w:top w:val="none" w:sz="0" w:space="0" w:color="auto"/>
                    <w:left w:val="none" w:sz="0" w:space="0" w:color="auto"/>
                    <w:bottom w:val="none" w:sz="0" w:space="0" w:color="auto"/>
                    <w:right w:val="none" w:sz="0" w:space="0" w:color="auto"/>
                  </w:divBdr>
                </w:div>
                <w:div w:id="279074459">
                  <w:marLeft w:val="0"/>
                  <w:marRight w:val="0"/>
                  <w:marTop w:val="0"/>
                  <w:marBottom w:val="0"/>
                  <w:divBdr>
                    <w:top w:val="none" w:sz="0" w:space="0" w:color="auto"/>
                    <w:left w:val="none" w:sz="0" w:space="0" w:color="auto"/>
                    <w:bottom w:val="none" w:sz="0" w:space="0" w:color="auto"/>
                    <w:right w:val="none" w:sz="0" w:space="0" w:color="auto"/>
                  </w:divBdr>
                </w:div>
                <w:div w:id="143544390">
                  <w:marLeft w:val="0"/>
                  <w:marRight w:val="0"/>
                  <w:marTop w:val="0"/>
                  <w:marBottom w:val="0"/>
                  <w:divBdr>
                    <w:top w:val="none" w:sz="0" w:space="0" w:color="auto"/>
                    <w:left w:val="none" w:sz="0" w:space="0" w:color="auto"/>
                    <w:bottom w:val="none" w:sz="0" w:space="0" w:color="auto"/>
                    <w:right w:val="none" w:sz="0" w:space="0" w:color="auto"/>
                  </w:divBdr>
                </w:div>
                <w:div w:id="1057051625">
                  <w:marLeft w:val="0"/>
                  <w:marRight w:val="0"/>
                  <w:marTop w:val="0"/>
                  <w:marBottom w:val="0"/>
                  <w:divBdr>
                    <w:top w:val="none" w:sz="0" w:space="0" w:color="auto"/>
                    <w:left w:val="none" w:sz="0" w:space="0" w:color="auto"/>
                    <w:bottom w:val="none" w:sz="0" w:space="0" w:color="auto"/>
                    <w:right w:val="none" w:sz="0" w:space="0" w:color="auto"/>
                  </w:divBdr>
                </w:div>
                <w:div w:id="918442019">
                  <w:marLeft w:val="0"/>
                  <w:marRight w:val="0"/>
                  <w:marTop w:val="0"/>
                  <w:marBottom w:val="0"/>
                  <w:divBdr>
                    <w:top w:val="none" w:sz="0" w:space="0" w:color="auto"/>
                    <w:left w:val="none" w:sz="0" w:space="0" w:color="auto"/>
                    <w:bottom w:val="none" w:sz="0" w:space="0" w:color="auto"/>
                    <w:right w:val="none" w:sz="0" w:space="0" w:color="auto"/>
                  </w:divBdr>
                </w:div>
                <w:div w:id="29451538">
                  <w:marLeft w:val="0"/>
                  <w:marRight w:val="0"/>
                  <w:marTop w:val="0"/>
                  <w:marBottom w:val="0"/>
                  <w:divBdr>
                    <w:top w:val="none" w:sz="0" w:space="0" w:color="auto"/>
                    <w:left w:val="none" w:sz="0" w:space="0" w:color="auto"/>
                    <w:bottom w:val="none" w:sz="0" w:space="0" w:color="auto"/>
                    <w:right w:val="none" w:sz="0" w:space="0" w:color="auto"/>
                  </w:divBdr>
                </w:div>
                <w:div w:id="368800098">
                  <w:marLeft w:val="0"/>
                  <w:marRight w:val="0"/>
                  <w:marTop w:val="0"/>
                  <w:marBottom w:val="0"/>
                  <w:divBdr>
                    <w:top w:val="none" w:sz="0" w:space="0" w:color="auto"/>
                    <w:left w:val="none" w:sz="0" w:space="0" w:color="auto"/>
                    <w:bottom w:val="none" w:sz="0" w:space="0" w:color="auto"/>
                    <w:right w:val="none" w:sz="0" w:space="0" w:color="auto"/>
                  </w:divBdr>
                </w:div>
                <w:div w:id="1780222681">
                  <w:marLeft w:val="0"/>
                  <w:marRight w:val="0"/>
                  <w:marTop w:val="0"/>
                  <w:marBottom w:val="0"/>
                  <w:divBdr>
                    <w:top w:val="none" w:sz="0" w:space="0" w:color="auto"/>
                    <w:left w:val="none" w:sz="0" w:space="0" w:color="auto"/>
                    <w:bottom w:val="none" w:sz="0" w:space="0" w:color="auto"/>
                    <w:right w:val="none" w:sz="0" w:space="0" w:color="auto"/>
                  </w:divBdr>
                </w:div>
                <w:div w:id="849610469">
                  <w:marLeft w:val="0"/>
                  <w:marRight w:val="0"/>
                  <w:marTop w:val="0"/>
                  <w:marBottom w:val="0"/>
                  <w:divBdr>
                    <w:top w:val="none" w:sz="0" w:space="0" w:color="auto"/>
                    <w:left w:val="none" w:sz="0" w:space="0" w:color="auto"/>
                    <w:bottom w:val="none" w:sz="0" w:space="0" w:color="auto"/>
                    <w:right w:val="none" w:sz="0" w:space="0" w:color="auto"/>
                  </w:divBdr>
                </w:div>
                <w:div w:id="112133302">
                  <w:marLeft w:val="0"/>
                  <w:marRight w:val="0"/>
                  <w:marTop w:val="0"/>
                  <w:marBottom w:val="0"/>
                  <w:divBdr>
                    <w:top w:val="none" w:sz="0" w:space="0" w:color="auto"/>
                    <w:left w:val="none" w:sz="0" w:space="0" w:color="auto"/>
                    <w:bottom w:val="none" w:sz="0" w:space="0" w:color="auto"/>
                    <w:right w:val="none" w:sz="0" w:space="0" w:color="auto"/>
                  </w:divBdr>
                </w:div>
                <w:div w:id="1076588103">
                  <w:marLeft w:val="0"/>
                  <w:marRight w:val="0"/>
                  <w:marTop w:val="0"/>
                  <w:marBottom w:val="0"/>
                  <w:divBdr>
                    <w:top w:val="none" w:sz="0" w:space="0" w:color="auto"/>
                    <w:left w:val="none" w:sz="0" w:space="0" w:color="auto"/>
                    <w:bottom w:val="none" w:sz="0" w:space="0" w:color="auto"/>
                    <w:right w:val="none" w:sz="0" w:space="0" w:color="auto"/>
                  </w:divBdr>
                </w:div>
                <w:div w:id="1322007313">
                  <w:marLeft w:val="0"/>
                  <w:marRight w:val="0"/>
                  <w:marTop w:val="0"/>
                  <w:marBottom w:val="0"/>
                  <w:divBdr>
                    <w:top w:val="none" w:sz="0" w:space="0" w:color="auto"/>
                    <w:left w:val="none" w:sz="0" w:space="0" w:color="auto"/>
                    <w:bottom w:val="none" w:sz="0" w:space="0" w:color="auto"/>
                    <w:right w:val="none" w:sz="0" w:space="0" w:color="auto"/>
                  </w:divBdr>
                </w:div>
                <w:div w:id="346951309">
                  <w:marLeft w:val="0"/>
                  <w:marRight w:val="0"/>
                  <w:marTop w:val="0"/>
                  <w:marBottom w:val="0"/>
                  <w:divBdr>
                    <w:top w:val="none" w:sz="0" w:space="0" w:color="auto"/>
                    <w:left w:val="none" w:sz="0" w:space="0" w:color="auto"/>
                    <w:bottom w:val="none" w:sz="0" w:space="0" w:color="auto"/>
                    <w:right w:val="none" w:sz="0" w:space="0" w:color="auto"/>
                  </w:divBdr>
                </w:div>
                <w:div w:id="1354070968">
                  <w:marLeft w:val="0"/>
                  <w:marRight w:val="0"/>
                  <w:marTop w:val="0"/>
                  <w:marBottom w:val="0"/>
                  <w:divBdr>
                    <w:top w:val="none" w:sz="0" w:space="0" w:color="auto"/>
                    <w:left w:val="none" w:sz="0" w:space="0" w:color="auto"/>
                    <w:bottom w:val="none" w:sz="0" w:space="0" w:color="auto"/>
                    <w:right w:val="none" w:sz="0" w:space="0" w:color="auto"/>
                  </w:divBdr>
                </w:div>
                <w:div w:id="1823153444">
                  <w:marLeft w:val="0"/>
                  <w:marRight w:val="0"/>
                  <w:marTop w:val="0"/>
                  <w:marBottom w:val="0"/>
                  <w:divBdr>
                    <w:top w:val="none" w:sz="0" w:space="0" w:color="auto"/>
                    <w:left w:val="none" w:sz="0" w:space="0" w:color="auto"/>
                    <w:bottom w:val="none" w:sz="0" w:space="0" w:color="auto"/>
                    <w:right w:val="none" w:sz="0" w:space="0" w:color="auto"/>
                  </w:divBdr>
                </w:div>
                <w:div w:id="128132779">
                  <w:marLeft w:val="0"/>
                  <w:marRight w:val="0"/>
                  <w:marTop w:val="0"/>
                  <w:marBottom w:val="0"/>
                  <w:divBdr>
                    <w:top w:val="none" w:sz="0" w:space="0" w:color="auto"/>
                    <w:left w:val="none" w:sz="0" w:space="0" w:color="auto"/>
                    <w:bottom w:val="none" w:sz="0" w:space="0" w:color="auto"/>
                    <w:right w:val="none" w:sz="0" w:space="0" w:color="auto"/>
                  </w:divBdr>
                </w:div>
                <w:div w:id="199048217">
                  <w:marLeft w:val="0"/>
                  <w:marRight w:val="0"/>
                  <w:marTop w:val="0"/>
                  <w:marBottom w:val="0"/>
                  <w:divBdr>
                    <w:top w:val="none" w:sz="0" w:space="0" w:color="auto"/>
                    <w:left w:val="none" w:sz="0" w:space="0" w:color="auto"/>
                    <w:bottom w:val="none" w:sz="0" w:space="0" w:color="auto"/>
                    <w:right w:val="none" w:sz="0" w:space="0" w:color="auto"/>
                  </w:divBdr>
                </w:div>
                <w:div w:id="628707307">
                  <w:marLeft w:val="0"/>
                  <w:marRight w:val="0"/>
                  <w:marTop w:val="0"/>
                  <w:marBottom w:val="0"/>
                  <w:divBdr>
                    <w:top w:val="none" w:sz="0" w:space="0" w:color="auto"/>
                    <w:left w:val="none" w:sz="0" w:space="0" w:color="auto"/>
                    <w:bottom w:val="none" w:sz="0" w:space="0" w:color="auto"/>
                    <w:right w:val="none" w:sz="0" w:space="0" w:color="auto"/>
                  </w:divBdr>
                </w:div>
                <w:div w:id="271403901">
                  <w:marLeft w:val="0"/>
                  <w:marRight w:val="0"/>
                  <w:marTop w:val="0"/>
                  <w:marBottom w:val="0"/>
                  <w:divBdr>
                    <w:top w:val="none" w:sz="0" w:space="0" w:color="auto"/>
                    <w:left w:val="none" w:sz="0" w:space="0" w:color="auto"/>
                    <w:bottom w:val="none" w:sz="0" w:space="0" w:color="auto"/>
                    <w:right w:val="none" w:sz="0" w:space="0" w:color="auto"/>
                  </w:divBdr>
                </w:div>
                <w:div w:id="143857206">
                  <w:marLeft w:val="0"/>
                  <w:marRight w:val="0"/>
                  <w:marTop w:val="0"/>
                  <w:marBottom w:val="0"/>
                  <w:divBdr>
                    <w:top w:val="none" w:sz="0" w:space="0" w:color="auto"/>
                    <w:left w:val="none" w:sz="0" w:space="0" w:color="auto"/>
                    <w:bottom w:val="none" w:sz="0" w:space="0" w:color="auto"/>
                    <w:right w:val="none" w:sz="0" w:space="0" w:color="auto"/>
                  </w:divBdr>
                </w:div>
                <w:div w:id="908150698">
                  <w:marLeft w:val="0"/>
                  <w:marRight w:val="0"/>
                  <w:marTop w:val="0"/>
                  <w:marBottom w:val="0"/>
                  <w:divBdr>
                    <w:top w:val="none" w:sz="0" w:space="0" w:color="auto"/>
                    <w:left w:val="none" w:sz="0" w:space="0" w:color="auto"/>
                    <w:bottom w:val="none" w:sz="0" w:space="0" w:color="auto"/>
                    <w:right w:val="none" w:sz="0" w:space="0" w:color="auto"/>
                  </w:divBdr>
                </w:div>
                <w:div w:id="1693266681">
                  <w:marLeft w:val="0"/>
                  <w:marRight w:val="0"/>
                  <w:marTop w:val="0"/>
                  <w:marBottom w:val="0"/>
                  <w:divBdr>
                    <w:top w:val="none" w:sz="0" w:space="0" w:color="auto"/>
                    <w:left w:val="none" w:sz="0" w:space="0" w:color="auto"/>
                    <w:bottom w:val="none" w:sz="0" w:space="0" w:color="auto"/>
                    <w:right w:val="none" w:sz="0" w:space="0" w:color="auto"/>
                  </w:divBdr>
                </w:div>
                <w:div w:id="481503369">
                  <w:marLeft w:val="0"/>
                  <w:marRight w:val="0"/>
                  <w:marTop w:val="0"/>
                  <w:marBottom w:val="0"/>
                  <w:divBdr>
                    <w:top w:val="none" w:sz="0" w:space="0" w:color="auto"/>
                    <w:left w:val="none" w:sz="0" w:space="0" w:color="auto"/>
                    <w:bottom w:val="none" w:sz="0" w:space="0" w:color="auto"/>
                    <w:right w:val="none" w:sz="0" w:space="0" w:color="auto"/>
                  </w:divBdr>
                </w:div>
                <w:div w:id="496389017">
                  <w:marLeft w:val="0"/>
                  <w:marRight w:val="0"/>
                  <w:marTop w:val="0"/>
                  <w:marBottom w:val="0"/>
                  <w:divBdr>
                    <w:top w:val="none" w:sz="0" w:space="0" w:color="auto"/>
                    <w:left w:val="none" w:sz="0" w:space="0" w:color="auto"/>
                    <w:bottom w:val="none" w:sz="0" w:space="0" w:color="auto"/>
                    <w:right w:val="none" w:sz="0" w:space="0" w:color="auto"/>
                  </w:divBdr>
                </w:div>
                <w:div w:id="1367755094">
                  <w:marLeft w:val="0"/>
                  <w:marRight w:val="0"/>
                  <w:marTop w:val="0"/>
                  <w:marBottom w:val="0"/>
                  <w:divBdr>
                    <w:top w:val="none" w:sz="0" w:space="0" w:color="auto"/>
                    <w:left w:val="none" w:sz="0" w:space="0" w:color="auto"/>
                    <w:bottom w:val="none" w:sz="0" w:space="0" w:color="auto"/>
                    <w:right w:val="none" w:sz="0" w:space="0" w:color="auto"/>
                  </w:divBdr>
                </w:div>
                <w:div w:id="142700396">
                  <w:marLeft w:val="0"/>
                  <w:marRight w:val="0"/>
                  <w:marTop w:val="0"/>
                  <w:marBottom w:val="0"/>
                  <w:divBdr>
                    <w:top w:val="none" w:sz="0" w:space="0" w:color="auto"/>
                    <w:left w:val="none" w:sz="0" w:space="0" w:color="auto"/>
                    <w:bottom w:val="none" w:sz="0" w:space="0" w:color="auto"/>
                    <w:right w:val="none" w:sz="0" w:space="0" w:color="auto"/>
                  </w:divBdr>
                </w:div>
                <w:div w:id="862936905">
                  <w:marLeft w:val="0"/>
                  <w:marRight w:val="0"/>
                  <w:marTop w:val="0"/>
                  <w:marBottom w:val="0"/>
                  <w:divBdr>
                    <w:top w:val="none" w:sz="0" w:space="0" w:color="auto"/>
                    <w:left w:val="none" w:sz="0" w:space="0" w:color="auto"/>
                    <w:bottom w:val="none" w:sz="0" w:space="0" w:color="auto"/>
                    <w:right w:val="none" w:sz="0" w:space="0" w:color="auto"/>
                  </w:divBdr>
                </w:div>
                <w:div w:id="411122792">
                  <w:marLeft w:val="0"/>
                  <w:marRight w:val="0"/>
                  <w:marTop w:val="0"/>
                  <w:marBottom w:val="0"/>
                  <w:divBdr>
                    <w:top w:val="none" w:sz="0" w:space="0" w:color="auto"/>
                    <w:left w:val="none" w:sz="0" w:space="0" w:color="auto"/>
                    <w:bottom w:val="none" w:sz="0" w:space="0" w:color="auto"/>
                    <w:right w:val="none" w:sz="0" w:space="0" w:color="auto"/>
                  </w:divBdr>
                </w:div>
                <w:div w:id="2004047422">
                  <w:marLeft w:val="0"/>
                  <w:marRight w:val="0"/>
                  <w:marTop w:val="0"/>
                  <w:marBottom w:val="0"/>
                  <w:divBdr>
                    <w:top w:val="none" w:sz="0" w:space="0" w:color="auto"/>
                    <w:left w:val="none" w:sz="0" w:space="0" w:color="auto"/>
                    <w:bottom w:val="none" w:sz="0" w:space="0" w:color="auto"/>
                    <w:right w:val="none" w:sz="0" w:space="0" w:color="auto"/>
                  </w:divBdr>
                </w:div>
                <w:div w:id="649211467">
                  <w:marLeft w:val="0"/>
                  <w:marRight w:val="0"/>
                  <w:marTop w:val="0"/>
                  <w:marBottom w:val="0"/>
                  <w:divBdr>
                    <w:top w:val="none" w:sz="0" w:space="0" w:color="auto"/>
                    <w:left w:val="none" w:sz="0" w:space="0" w:color="auto"/>
                    <w:bottom w:val="none" w:sz="0" w:space="0" w:color="auto"/>
                    <w:right w:val="none" w:sz="0" w:space="0" w:color="auto"/>
                  </w:divBdr>
                </w:div>
                <w:div w:id="360056291">
                  <w:marLeft w:val="0"/>
                  <w:marRight w:val="0"/>
                  <w:marTop w:val="0"/>
                  <w:marBottom w:val="0"/>
                  <w:divBdr>
                    <w:top w:val="none" w:sz="0" w:space="0" w:color="auto"/>
                    <w:left w:val="none" w:sz="0" w:space="0" w:color="auto"/>
                    <w:bottom w:val="none" w:sz="0" w:space="0" w:color="auto"/>
                    <w:right w:val="none" w:sz="0" w:space="0" w:color="auto"/>
                  </w:divBdr>
                </w:div>
                <w:div w:id="1517040716">
                  <w:marLeft w:val="0"/>
                  <w:marRight w:val="0"/>
                  <w:marTop w:val="0"/>
                  <w:marBottom w:val="0"/>
                  <w:divBdr>
                    <w:top w:val="none" w:sz="0" w:space="0" w:color="auto"/>
                    <w:left w:val="none" w:sz="0" w:space="0" w:color="auto"/>
                    <w:bottom w:val="none" w:sz="0" w:space="0" w:color="auto"/>
                    <w:right w:val="none" w:sz="0" w:space="0" w:color="auto"/>
                  </w:divBdr>
                </w:div>
                <w:div w:id="1380012005">
                  <w:marLeft w:val="0"/>
                  <w:marRight w:val="0"/>
                  <w:marTop w:val="0"/>
                  <w:marBottom w:val="0"/>
                  <w:divBdr>
                    <w:top w:val="none" w:sz="0" w:space="0" w:color="auto"/>
                    <w:left w:val="none" w:sz="0" w:space="0" w:color="auto"/>
                    <w:bottom w:val="none" w:sz="0" w:space="0" w:color="auto"/>
                    <w:right w:val="none" w:sz="0" w:space="0" w:color="auto"/>
                  </w:divBdr>
                </w:div>
                <w:div w:id="368604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833343">
          <w:marLeft w:val="0"/>
          <w:marRight w:val="0"/>
          <w:marTop w:val="15"/>
          <w:marBottom w:val="0"/>
          <w:divBdr>
            <w:top w:val="none" w:sz="0" w:space="0" w:color="auto"/>
            <w:left w:val="none" w:sz="0" w:space="0" w:color="auto"/>
            <w:bottom w:val="none" w:sz="0" w:space="0" w:color="auto"/>
            <w:right w:val="none" w:sz="0" w:space="0" w:color="auto"/>
          </w:divBdr>
        </w:div>
      </w:divsChild>
    </w:div>
    <w:div w:id="1296178604">
      <w:bodyDiv w:val="1"/>
      <w:marLeft w:val="0"/>
      <w:marRight w:val="0"/>
      <w:marTop w:val="0"/>
      <w:marBottom w:val="0"/>
      <w:divBdr>
        <w:top w:val="none" w:sz="0" w:space="0" w:color="auto"/>
        <w:left w:val="none" w:sz="0" w:space="0" w:color="auto"/>
        <w:bottom w:val="none" w:sz="0" w:space="0" w:color="auto"/>
        <w:right w:val="none" w:sz="0" w:space="0" w:color="auto"/>
      </w:divBdr>
      <w:divsChild>
        <w:div w:id="11615991">
          <w:marLeft w:val="0"/>
          <w:marRight w:val="0"/>
          <w:marTop w:val="0"/>
          <w:marBottom w:val="0"/>
          <w:divBdr>
            <w:top w:val="none" w:sz="0" w:space="0" w:color="auto"/>
            <w:left w:val="none" w:sz="0" w:space="0" w:color="auto"/>
            <w:bottom w:val="none" w:sz="0" w:space="0" w:color="auto"/>
            <w:right w:val="none" w:sz="0" w:space="0" w:color="auto"/>
          </w:divBdr>
        </w:div>
        <w:div w:id="86928094">
          <w:marLeft w:val="0"/>
          <w:marRight w:val="0"/>
          <w:marTop w:val="0"/>
          <w:marBottom w:val="0"/>
          <w:divBdr>
            <w:top w:val="none" w:sz="0" w:space="0" w:color="auto"/>
            <w:left w:val="none" w:sz="0" w:space="0" w:color="auto"/>
            <w:bottom w:val="none" w:sz="0" w:space="0" w:color="auto"/>
            <w:right w:val="none" w:sz="0" w:space="0" w:color="auto"/>
          </w:divBdr>
        </w:div>
        <w:div w:id="131213047">
          <w:marLeft w:val="0"/>
          <w:marRight w:val="0"/>
          <w:marTop w:val="0"/>
          <w:marBottom w:val="0"/>
          <w:divBdr>
            <w:top w:val="none" w:sz="0" w:space="0" w:color="auto"/>
            <w:left w:val="none" w:sz="0" w:space="0" w:color="auto"/>
            <w:bottom w:val="none" w:sz="0" w:space="0" w:color="auto"/>
            <w:right w:val="none" w:sz="0" w:space="0" w:color="auto"/>
          </w:divBdr>
        </w:div>
        <w:div w:id="132793830">
          <w:marLeft w:val="0"/>
          <w:marRight w:val="0"/>
          <w:marTop w:val="0"/>
          <w:marBottom w:val="0"/>
          <w:divBdr>
            <w:top w:val="none" w:sz="0" w:space="0" w:color="auto"/>
            <w:left w:val="none" w:sz="0" w:space="0" w:color="auto"/>
            <w:bottom w:val="none" w:sz="0" w:space="0" w:color="auto"/>
            <w:right w:val="none" w:sz="0" w:space="0" w:color="auto"/>
          </w:divBdr>
        </w:div>
        <w:div w:id="222180975">
          <w:marLeft w:val="0"/>
          <w:marRight w:val="0"/>
          <w:marTop w:val="0"/>
          <w:marBottom w:val="0"/>
          <w:divBdr>
            <w:top w:val="none" w:sz="0" w:space="0" w:color="auto"/>
            <w:left w:val="none" w:sz="0" w:space="0" w:color="auto"/>
            <w:bottom w:val="none" w:sz="0" w:space="0" w:color="auto"/>
            <w:right w:val="none" w:sz="0" w:space="0" w:color="auto"/>
          </w:divBdr>
        </w:div>
        <w:div w:id="250897490">
          <w:marLeft w:val="0"/>
          <w:marRight w:val="0"/>
          <w:marTop w:val="0"/>
          <w:marBottom w:val="0"/>
          <w:divBdr>
            <w:top w:val="none" w:sz="0" w:space="0" w:color="auto"/>
            <w:left w:val="none" w:sz="0" w:space="0" w:color="auto"/>
            <w:bottom w:val="none" w:sz="0" w:space="0" w:color="auto"/>
            <w:right w:val="none" w:sz="0" w:space="0" w:color="auto"/>
          </w:divBdr>
        </w:div>
        <w:div w:id="305939236">
          <w:marLeft w:val="0"/>
          <w:marRight w:val="0"/>
          <w:marTop w:val="0"/>
          <w:marBottom w:val="0"/>
          <w:divBdr>
            <w:top w:val="none" w:sz="0" w:space="0" w:color="auto"/>
            <w:left w:val="none" w:sz="0" w:space="0" w:color="auto"/>
            <w:bottom w:val="none" w:sz="0" w:space="0" w:color="auto"/>
            <w:right w:val="none" w:sz="0" w:space="0" w:color="auto"/>
          </w:divBdr>
        </w:div>
        <w:div w:id="468059203">
          <w:marLeft w:val="0"/>
          <w:marRight w:val="0"/>
          <w:marTop w:val="0"/>
          <w:marBottom w:val="0"/>
          <w:divBdr>
            <w:top w:val="none" w:sz="0" w:space="0" w:color="auto"/>
            <w:left w:val="none" w:sz="0" w:space="0" w:color="auto"/>
            <w:bottom w:val="none" w:sz="0" w:space="0" w:color="auto"/>
            <w:right w:val="none" w:sz="0" w:space="0" w:color="auto"/>
          </w:divBdr>
        </w:div>
        <w:div w:id="491604165">
          <w:marLeft w:val="0"/>
          <w:marRight w:val="0"/>
          <w:marTop w:val="0"/>
          <w:marBottom w:val="0"/>
          <w:divBdr>
            <w:top w:val="none" w:sz="0" w:space="0" w:color="auto"/>
            <w:left w:val="none" w:sz="0" w:space="0" w:color="auto"/>
            <w:bottom w:val="none" w:sz="0" w:space="0" w:color="auto"/>
            <w:right w:val="none" w:sz="0" w:space="0" w:color="auto"/>
          </w:divBdr>
        </w:div>
        <w:div w:id="497887819">
          <w:marLeft w:val="0"/>
          <w:marRight w:val="0"/>
          <w:marTop w:val="0"/>
          <w:marBottom w:val="0"/>
          <w:divBdr>
            <w:top w:val="none" w:sz="0" w:space="0" w:color="auto"/>
            <w:left w:val="none" w:sz="0" w:space="0" w:color="auto"/>
            <w:bottom w:val="none" w:sz="0" w:space="0" w:color="auto"/>
            <w:right w:val="none" w:sz="0" w:space="0" w:color="auto"/>
          </w:divBdr>
        </w:div>
        <w:div w:id="516314844">
          <w:marLeft w:val="0"/>
          <w:marRight w:val="0"/>
          <w:marTop w:val="0"/>
          <w:marBottom w:val="0"/>
          <w:divBdr>
            <w:top w:val="none" w:sz="0" w:space="0" w:color="auto"/>
            <w:left w:val="none" w:sz="0" w:space="0" w:color="auto"/>
            <w:bottom w:val="none" w:sz="0" w:space="0" w:color="auto"/>
            <w:right w:val="none" w:sz="0" w:space="0" w:color="auto"/>
          </w:divBdr>
        </w:div>
        <w:div w:id="531922226">
          <w:marLeft w:val="0"/>
          <w:marRight w:val="0"/>
          <w:marTop w:val="0"/>
          <w:marBottom w:val="0"/>
          <w:divBdr>
            <w:top w:val="none" w:sz="0" w:space="0" w:color="auto"/>
            <w:left w:val="none" w:sz="0" w:space="0" w:color="auto"/>
            <w:bottom w:val="none" w:sz="0" w:space="0" w:color="auto"/>
            <w:right w:val="none" w:sz="0" w:space="0" w:color="auto"/>
          </w:divBdr>
        </w:div>
        <w:div w:id="586381408">
          <w:marLeft w:val="0"/>
          <w:marRight w:val="0"/>
          <w:marTop w:val="0"/>
          <w:marBottom w:val="0"/>
          <w:divBdr>
            <w:top w:val="none" w:sz="0" w:space="0" w:color="auto"/>
            <w:left w:val="none" w:sz="0" w:space="0" w:color="auto"/>
            <w:bottom w:val="none" w:sz="0" w:space="0" w:color="auto"/>
            <w:right w:val="none" w:sz="0" w:space="0" w:color="auto"/>
          </w:divBdr>
        </w:div>
        <w:div w:id="682511297">
          <w:marLeft w:val="0"/>
          <w:marRight w:val="0"/>
          <w:marTop w:val="0"/>
          <w:marBottom w:val="0"/>
          <w:divBdr>
            <w:top w:val="none" w:sz="0" w:space="0" w:color="auto"/>
            <w:left w:val="none" w:sz="0" w:space="0" w:color="auto"/>
            <w:bottom w:val="none" w:sz="0" w:space="0" w:color="auto"/>
            <w:right w:val="none" w:sz="0" w:space="0" w:color="auto"/>
          </w:divBdr>
        </w:div>
        <w:div w:id="790175226">
          <w:marLeft w:val="0"/>
          <w:marRight w:val="0"/>
          <w:marTop w:val="0"/>
          <w:marBottom w:val="0"/>
          <w:divBdr>
            <w:top w:val="none" w:sz="0" w:space="0" w:color="auto"/>
            <w:left w:val="none" w:sz="0" w:space="0" w:color="auto"/>
            <w:bottom w:val="none" w:sz="0" w:space="0" w:color="auto"/>
            <w:right w:val="none" w:sz="0" w:space="0" w:color="auto"/>
          </w:divBdr>
        </w:div>
        <w:div w:id="986713483">
          <w:marLeft w:val="0"/>
          <w:marRight w:val="0"/>
          <w:marTop w:val="0"/>
          <w:marBottom w:val="0"/>
          <w:divBdr>
            <w:top w:val="none" w:sz="0" w:space="0" w:color="auto"/>
            <w:left w:val="none" w:sz="0" w:space="0" w:color="auto"/>
            <w:bottom w:val="none" w:sz="0" w:space="0" w:color="auto"/>
            <w:right w:val="none" w:sz="0" w:space="0" w:color="auto"/>
          </w:divBdr>
        </w:div>
        <w:div w:id="1080251857">
          <w:marLeft w:val="0"/>
          <w:marRight w:val="0"/>
          <w:marTop w:val="0"/>
          <w:marBottom w:val="0"/>
          <w:divBdr>
            <w:top w:val="none" w:sz="0" w:space="0" w:color="auto"/>
            <w:left w:val="none" w:sz="0" w:space="0" w:color="auto"/>
            <w:bottom w:val="none" w:sz="0" w:space="0" w:color="auto"/>
            <w:right w:val="none" w:sz="0" w:space="0" w:color="auto"/>
          </w:divBdr>
        </w:div>
        <w:div w:id="1086151365">
          <w:marLeft w:val="0"/>
          <w:marRight w:val="0"/>
          <w:marTop w:val="0"/>
          <w:marBottom w:val="0"/>
          <w:divBdr>
            <w:top w:val="none" w:sz="0" w:space="0" w:color="auto"/>
            <w:left w:val="none" w:sz="0" w:space="0" w:color="auto"/>
            <w:bottom w:val="none" w:sz="0" w:space="0" w:color="auto"/>
            <w:right w:val="none" w:sz="0" w:space="0" w:color="auto"/>
          </w:divBdr>
        </w:div>
        <w:div w:id="1093434542">
          <w:marLeft w:val="0"/>
          <w:marRight w:val="0"/>
          <w:marTop w:val="0"/>
          <w:marBottom w:val="0"/>
          <w:divBdr>
            <w:top w:val="none" w:sz="0" w:space="0" w:color="auto"/>
            <w:left w:val="none" w:sz="0" w:space="0" w:color="auto"/>
            <w:bottom w:val="none" w:sz="0" w:space="0" w:color="auto"/>
            <w:right w:val="none" w:sz="0" w:space="0" w:color="auto"/>
          </w:divBdr>
        </w:div>
        <w:div w:id="1131290720">
          <w:marLeft w:val="0"/>
          <w:marRight w:val="0"/>
          <w:marTop w:val="0"/>
          <w:marBottom w:val="0"/>
          <w:divBdr>
            <w:top w:val="none" w:sz="0" w:space="0" w:color="auto"/>
            <w:left w:val="none" w:sz="0" w:space="0" w:color="auto"/>
            <w:bottom w:val="none" w:sz="0" w:space="0" w:color="auto"/>
            <w:right w:val="none" w:sz="0" w:space="0" w:color="auto"/>
          </w:divBdr>
        </w:div>
        <w:div w:id="1186211360">
          <w:marLeft w:val="0"/>
          <w:marRight w:val="0"/>
          <w:marTop w:val="0"/>
          <w:marBottom w:val="0"/>
          <w:divBdr>
            <w:top w:val="none" w:sz="0" w:space="0" w:color="auto"/>
            <w:left w:val="none" w:sz="0" w:space="0" w:color="auto"/>
            <w:bottom w:val="none" w:sz="0" w:space="0" w:color="auto"/>
            <w:right w:val="none" w:sz="0" w:space="0" w:color="auto"/>
          </w:divBdr>
        </w:div>
        <w:div w:id="1191914468">
          <w:marLeft w:val="0"/>
          <w:marRight w:val="0"/>
          <w:marTop w:val="0"/>
          <w:marBottom w:val="0"/>
          <w:divBdr>
            <w:top w:val="none" w:sz="0" w:space="0" w:color="auto"/>
            <w:left w:val="none" w:sz="0" w:space="0" w:color="auto"/>
            <w:bottom w:val="none" w:sz="0" w:space="0" w:color="auto"/>
            <w:right w:val="none" w:sz="0" w:space="0" w:color="auto"/>
          </w:divBdr>
        </w:div>
        <w:div w:id="1272858315">
          <w:marLeft w:val="0"/>
          <w:marRight w:val="0"/>
          <w:marTop w:val="0"/>
          <w:marBottom w:val="0"/>
          <w:divBdr>
            <w:top w:val="none" w:sz="0" w:space="0" w:color="auto"/>
            <w:left w:val="none" w:sz="0" w:space="0" w:color="auto"/>
            <w:bottom w:val="none" w:sz="0" w:space="0" w:color="auto"/>
            <w:right w:val="none" w:sz="0" w:space="0" w:color="auto"/>
          </w:divBdr>
        </w:div>
        <w:div w:id="1323703386">
          <w:marLeft w:val="0"/>
          <w:marRight w:val="0"/>
          <w:marTop w:val="0"/>
          <w:marBottom w:val="0"/>
          <w:divBdr>
            <w:top w:val="none" w:sz="0" w:space="0" w:color="auto"/>
            <w:left w:val="none" w:sz="0" w:space="0" w:color="auto"/>
            <w:bottom w:val="none" w:sz="0" w:space="0" w:color="auto"/>
            <w:right w:val="none" w:sz="0" w:space="0" w:color="auto"/>
          </w:divBdr>
        </w:div>
        <w:div w:id="1394424664">
          <w:marLeft w:val="0"/>
          <w:marRight w:val="0"/>
          <w:marTop w:val="0"/>
          <w:marBottom w:val="0"/>
          <w:divBdr>
            <w:top w:val="none" w:sz="0" w:space="0" w:color="auto"/>
            <w:left w:val="none" w:sz="0" w:space="0" w:color="auto"/>
            <w:bottom w:val="none" w:sz="0" w:space="0" w:color="auto"/>
            <w:right w:val="none" w:sz="0" w:space="0" w:color="auto"/>
          </w:divBdr>
        </w:div>
        <w:div w:id="1469586412">
          <w:marLeft w:val="0"/>
          <w:marRight w:val="0"/>
          <w:marTop w:val="0"/>
          <w:marBottom w:val="0"/>
          <w:divBdr>
            <w:top w:val="none" w:sz="0" w:space="0" w:color="auto"/>
            <w:left w:val="none" w:sz="0" w:space="0" w:color="auto"/>
            <w:bottom w:val="none" w:sz="0" w:space="0" w:color="auto"/>
            <w:right w:val="none" w:sz="0" w:space="0" w:color="auto"/>
          </w:divBdr>
        </w:div>
        <w:div w:id="1487670660">
          <w:marLeft w:val="0"/>
          <w:marRight w:val="0"/>
          <w:marTop w:val="0"/>
          <w:marBottom w:val="0"/>
          <w:divBdr>
            <w:top w:val="none" w:sz="0" w:space="0" w:color="auto"/>
            <w:left w:val="none" w:sz="0" w:space="0" w:color="auto"/>
            <w:bottom w:val="none" w:sz="0" w:space="0" w:color="auto"/>
            <w:right w:val="none" w:sz="0" w:space="0" w:color="auto"/>
          </w:divBdr>
        </w:div>
        <w:div w:id="1508785335">
          <w:marLeft w:val="0"/>
          <w:marRight w:val="0"/>
          <w:marTop w:val="0"/>
          <w:marBottom w:val="0"/>
          <w:divBdr>
            <w:top w:val="none" w:sz="0" w:space="0" w:color="auto"/>
            <w:left w:val="none" w:sz="0" w:space="0" w:color="auto"/>
            <w:bottom w:val="none" w:sz="0" w:space="0" w:color="auto"/>
            <w:right w:val="none" w:sz="0" w:space="0" w:color="auto"/>
          </w:divBdr>
        </w:div>
        <w:div w:id="1530726671">
          <w:marLeft w:val="0"/>
          <w:marRight w:val="0"/>
          <w:marTop w:val="0"/>
          <w:marBottom w:val="0"/>
          <w:divBdr>
            <w:top w:val="none" w:sz="0" w:space="0" w:color="auto"/>
            <w:left w:val="none" w:sz="0" w:space="0" w:color="auto"/>
            <w:bottom w:val="none" w:sz="0" w:space="0" w:color="auto"/>
            <w:right w:val="none" w:sz="0" w:space="0" w:color="auto"/>
          </w:divBdr>
        </w:div>
        <w:div w:id="1588416372">
          <w:marLeft w:val="0"/>
          <w:marRight w:val="0"/>
          <w:marTop w:val="0"/>
          <w:marBottom w:val="0"/>
          <w:divBdr>
            <w:top w:val="none" w:sz="0" w:space="0" w:color="auto"/>
            <w:left w:val="none" w:sz="0" w:space="0" w:color="auto"/>
            <w:bottom w:val="none" w:sz="0" w:space="0" w:color="auto"/>
            <w:right w:val="none" w:sz="0" w:space="0" w:color="auto"/>
          </w:divBdr>
        </w:div>
        <w:div w:id="1596670860">
          <w:marLeft w:val="0"/>
          <w:marRight w:val="0"/>
          <w:marTop w:val="0"/>
          <w:marBottom w:val="0"/>
          <w:divBdr>
            <w:top w:val="none" w:sz="0" w:space="0" w:color="auto"/>
            <w:left w:val="none" w:sz="0" w:space="0" w:color="auto"/>
            <w:bottom w:val="none" w:sz="0" w:space="0" w:color="auto"/>
            <w:right w:val="none" w:sz="0" w:space="0" w:color="auto"/>
          </w:divBdr>
        </w:div>
        <w:div w:id="1617445621">
          <w:marLeft w:val="0"/>
          <w:marRight w:val="0"/>
          <w:marTop w:val="0"/>
          <w:marBottom w:val="0"/>
          <w:divBdr>
            <w:top w:val="none" w:sz="0" w:space="0" w:color="auto"/>
            <w:left w:val="none" w:sz="0" w:space="0" w:color="auto"/>
            <w:bottom w:val="none" w:sz="0" w:space="0" w:color="auto"/>
            <w:right w:val="none" w:sz="0" w:space="0" w:color="auto"/>
          </w:divBdr>
        </w:div>
        <w:div w:id="1619138643">
          <w:marLeft w:val="0"/>
          <w:marRight w:val="0"/>
          <w:marTop w:val="0"/>
          <w:marBottom w:val="0"/>
          <w:divBdr>
            <w:top w:val="none" w:sz="0" w:space="0" w:color="auto"/>
            <w:left w:val="none" w:sz="0" w:space="0" w:color="auto"/>
            <w:bottom w:val="none" w:sz="0" w:space="0" w:color="auto"/>
            <w:right w:val="none" w:sz="0" w:space="0" w:color="auto"/>
          </w:divBdr>
        </w:div>
        <w:div w:id="1619331464">
          <w:marLeft w:val="0"/>
          <w:marRight w:val="0"/>
          <w:marTop w:val="0"/>
          <w:marBottom w:val="0"/>
          <w:divBdr>
            <w:top w:val="none" w:sz="0" w:space="0" w:color="auto"/>
            <w:left w:val="none" w:sz="0" w:space="0" w:color="auto"/>
            <w:bottom w:val="none" w:sz="0" w:space="0" w:color="auto"/>
            <w:right w:val="none" w:sz="0" w:space="0" w:color="auto"/>
          </w:divBdr>
        </w:div>
        <w:div w:id="1658727658">
          <w:marLeft w:val="0"/>
          <w:marRight w:val="0"/>
          <w:marTop w:val="0"/>
          <w:marBottom w:val="0"/>
          <w:divBdr>
            <w:top w:val="none" w:sz="0" w:space="0" w:color="auto"/>
            <w:left w:val="none" w:sz="0" w:space="0" w:color="auto"/>
            <w:bottom w:val="none" w:sz="0" w:space="0" w:color="auto"/>
            <w:right w:val="none" w:sz="0" w:space="0" w:color="auto"/>
          </w:divBdr>
        </w:div>
        <w:div w:id="1734503836">
          <w:marLeft w:val="0"/>
          <w:marRight w:val="0"/>
          <w:marTop w:val="0"/>
          <w:marBottom w:val="0"/>
          <w:divBdr>
            <w:top w:val="none" w:sz="0" w:space="0" w:color="auto"/>
            <w:left w:val="none" w:sz="0" w:space="0" w:color="auto"/>
            <w:bottom w:val="none" w:sz="0" w:space="0" w:color="auto"/>
            <w:right w:val="none" w:sz="0" w:space="0" w:color="auto"/>
          </w:divBdr>
        </w:div>
        <w:div w:id="1816409819">
          <w:marLeft w:val="0"/>
          <w:marRight w:val="0"/>
          <w:marTop w:val="0"/>
          <w:marBottom w:val="0"/>
          <w:divBdr>
            <w:top w:val="none" w:sz="0" w:space="0" w:color="auto"/>
            <w:left w:val="none" w:sz="0" w:space="0" w:color="auto"/>
            <w:bottom w:val="none" w:sz="0" w:space="0" w:color="auto"/>
            <w:right w:val="none" w:sz="0" w:space="0" w:color="auto"/>
          </w:divBdr>
        </w:div>
        <w:div w:id="1909148699">
          <w:marLeft w:val="0"/>
          <w:marRight w:val="0"/>
          <w:marTop w:val="0"/>
          <w:marBottom w:val="0"/>
          <w:divBdr>
            <w:top w:val="none" w:sz="0" w:space="0" w:color="auto"/>
            <w:left w:val="none" w:sz="0" w:space="0" w:color="auto"/>
            <w:bottom w:val="none" w:sz="0" w:space="0" w:color="auto"/>
            <w:right w:val="none" w:sz="0" w:space="0" w:color="auto"/>
          </w:divBdr>
        </w:div>
        <w:div w:id="1973317012">
          <w:marLeft w:val="0"/>
          <w:marRight w:val="0"/>
          <w:marTop w:val="0"/>
          <w:marBottom w:val="0"/>
          <w:divBdr>
            <w:top w:val="none" w:sz="0" w:space="0" w:color="auto"/>
            <w:left w:val="none" w:sz="0" w:space="0" w:color="auto"/>
            <w:bottom w:val="none" w:sz="0" w:space="0" w:color="auto"/>
            <w:right w:val="none" w:sz="0" w:space="0" w:color="auto"/>
          </w:divBdr>
        </w:div>
        <w:div w:id="2007051566">
          <w:marLeft w:val="0"/>
          <w:marRight w:val="0"/>
          <w:marTop w:val="0"/>
          <w:marBottom w:val="0"/>
          <w:divBdr>
            <w:top w:val="none" w:sz="0" w:space="0" w:color="auto"/>
            <w:left w:val="none" w:sz="0" w:space="0" w:color="auto"/>
            <w:bottom w:val="none" w:sz="0" w:space="0" w:color="auto"/>
            <w:right w:val="none" w:sz="0" w:space="0" w:color="auto"/>
          </w:divBdr>
        </w:div>
        <w:div w:id="2082436597">
          <w:marLeft w:val="0"/>
          <w:marRight w:val="0"/>
          <w:marTop w:val="0"/>
          <w:marBottom w:val="0"/>
          <w:divBdr>
            <w:top w:val="none" w:sz="0" w:space="0" w:color="auto"/>
            <w:left w:val="none" w:sz="0" w:space="0" w:color="auto"/>
            <w:bottom w:val="none" w:sz="0" w:space="0" w:color="auto"/>
            <w:right w:val="none" w:sz="0" w:space="0" w:color="auto"/>
          </w:divBdr>
        </w:div>
      </w:divsChild>
    </w:div>
    <w:div w:id="1352612539">
      <w:bodyDiv w:val="1"/>
      <w:marLeft w:val="0"/>
      <w:marRight w:val="0"/>
      <w:marTop w:val="0"/>
      <w:marBottom w:val="0"/>
      <w:divBdr>
        <w:top w:val="none" w:sz="0" w:space="0" w:color="auto"/>
        <w:left w:val="none" w:sz="0" w:space="0" w:color="auto"/>
        <w:bottom w:val="none" w:sz="0" w:space="0" w:color="auto"/>
        <w:right w:val="none" w:sz="0" w:space="0" w:color="auto"/>
      </w:divBdr>
      <w:divsChild>
        <w:div w:id="969744091">
          <w:marLeft w:val="0"/>
          <w:marRight w:val="0"/>
          <w:marTop w:val="0"/>
          <w:marBottom w:val="0"/>
          <w:divBdr>
            <w:top w:val="none" w:sz="0" w:space="0" w:color="auto"/>
            <w:left w:val="none" w:sz="0" w:space="0" w:color="auto"/>
            <w:bottom w:val="none" w:sz="0" w:space="0" w:color="auto"/>
            <w:right w:val="none" w:sz="0" w:space="0" w:color="auto"/>
          </w:divBdr>
          <w:divsChild>
            <w:div w:id="176429066">
              <w:marLeft w:val="0"/>
              <w:marRight w:val="0"/>
              <w:marTop w:val="0"/>
              <w:marBottom w:val="0"/>
              <w:divBdr>
                <w:top w:val="none" w:sz="0" w:space="0" w:color="auto"/>
                <w:left w:val="none" w:sz="0" w:space="0" w:color="auto"/>
                <w:bottom w:val="none" w:sz="0" w:space="0" w:color="auto"/>
                <w:right w:val="none" w:sz="0" w:space="0" w:color="auto"/>
              </w:divBdr>
              <w:divsChild>
                <w:div w:id="206255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18750">
      <w:bodyDiv w:val="1"/>
      <w:marLeft w:val="0"/>
      <w:marRight w:val="0"/>
      <w:marTop w:val="0"/>
      <w:marBottom w:val="0"/>
      <w:divBdr>
        <w:top w:val="none" w:sz="0" w:space="0" w:color="auto"/>
        <w:left w:val="none" w:sz="0" w:space="0" w:color="auto"/>
        <w:bottom w:val="none" w:sz="0" w:space="0" w:color="auto"/>
        <w:right w:val="none" w:sz="0" w:space="0" w:color="auto"/>
      </w:divBdr>
      <w:divsChild>
        <w:div w:id="15471875">
          <w:marLeft w:val="0"/>
          <w:marRight w:val="0"/>
          <w:marTop w:val="15"/>
          <w:marBottom w:val="0"/>
          <w:divBdr>
            <w:top w:val="none" w:sz="0" w:space="0" w:color="auto"/>
            <w:left w:val="none" w:sz="0" w:space="0" w:color="auto"/>
            <w:bottom w:val="none" w:sz="0" w:space="0" w:color="auto"/>
            <w:right w:val="none" w:sz="0" w:space="0" w:color="auto"/>
          </w:divBdr>
          <w:divsChild>
            <w:div w:id="1975213026">
              <w:marLeft w:val="0"/>
              <w:marRight w:val="0"/>
              <w:marTop w:val="0"/>
              <w:marBottom w:val="0"/>
              <w:divBdr>
                <w:top w:val="none" w:sz="0" w:space="0" w:color="auto"/>
                <w:left w:val="none" w:sz="0" w:space="0" w:color="auto"/>
                <w:bottom w:val="none" w:sz="0" w:space="0" w:color="auto"/>
                <w:right w:val="none" w:sz="0" w:space="0" w:color="auto"/>
              </w:divBdr>
              <w:divsChild>
                <w:div w:id="2079549040">
                  <w:marLeft w:val="0"/>
                  <w:marRight w:val="0"/>
                  <w:marTop w:val="0"/>
                  <w:marBottom w:val="0"/>
                  <w:divBdr>
                    <w:top w:val="none" w:sz="0" w:space="0" w:color="auto"/>
                    <w:left w:val="none" w:sz="0" w:space="0" w:color="auto"/>
                    <w:bottom w:val="none" w:sz="0" w:space="0" w:color="auto"/>
                    <w:right w:val="none" w:sz="0" w:space="0" w:color="auto"/>
                  </w:divBdr>
                </w:div>
                <w:div w:id="1888447671">
                  <w:marLeft w:val="0"/>
                  <w:marRight w:val="0"/>
                  <w:marTop w:val="0"/>
                  <w:marBottom w:val="0"/>
                  <w:divBdr>
                    <w:top w:val="none" w:sz="0" w:space="0" w:color="auto"/>
                    <w:left w:val="none" w:sz="0" w:space="0" w:color="auto"/>
                    <w:bottom w:val="none" w:sz="0" w:space="0" w:color="auto"/>
                    <w:right w:val="none" w:sz="0" w:space="0" w:color="auto"/>
                  </w:divBdr>
                </w:div>
                <w:div w:id="1639190994">
                  <w:marLeft w:val="0"/>
                  <w:marRight w:val="0"/>
                  <w:marTop w:val="0"/>
                  <w:marBottom w:val="0"/>
                  <w:divBdr>
                    <w:top w:val="none" w:sz="0" w:space="0" w:color="auto"/>
                    <w:left w:val="none" w:sz="0" w:space="0" w:color="auto"/>
                    <w:bottom w:val="none" w:sz="0" w:space="0" w:color="auto"/>
                    <w:right w:val="none" w:sz="0" w:space="0" w:color="auto"/>
                  </w:divBdr>
                </w:div>
                <w:div w:id="1162351469">
                  <w:marLeft w:val="0"/>
                  <w:marRight w:val="0"/>
                  <w:marTop w:val="0"/>
                  <w:marBottom w:val="0"/>
                  <w:divBdr>
                    <w:top w:val="none" w:sz="0" w:space="0" w:color="auto"/>
                    <w:left w:val="none" w:sz="0" w:space="0" w:color="auto"/>
                    <w:bottom w:val="none" w:sz="0" w:space="0" w:color="auto"/>
                    <w:right w:val="none" w:sz="0" w:space="0" w:color="auto"/>
                  </w:divBdr>
                </w:div>
                <w:div w:id="1495684519">
                  <w:marLeft w:val="0"/>
                  <w:marRight w:val="0"/>
                  <w:marTop w:val="0"/>
                  <w:marBottom w:val="0"/>
                  <w:divBdr>
                    <w:top w:val="none" w:sz="0" w:space="0" w:color="auto"/>
                    <w:left w:val="none" w:sz="0" w:space="0" w:color="auto"/>
                    <w:bottom w:val="none" w:sz="0" w:space="0" w:color="auto"/>
                    <w:right w:val="none" w:sz="0" w:space="0" w:color="auto"/>
                  </w:divBdr>
                </w:div>
                <w:div w:id="287124184">
                  <w:marLeft w:val="0"/>
                  <w:marRight w:val="0"/>
                  <w:marTop w:val="0"/>
                  <w:marBottom w:val="0"/>
                  <w:divBdr>
                    <w:top w:val="none" w:sz="0" w:space="0" w:color="auto"/>
                    <w:left w:val="none" w:sz="0" w:space="0" w:color="auto"/>
                    <w:bottom w:val="none" w:sz="0" w:space="0" w:color="auto"/>
                    <w:right w:val="none" w:sz="0" w:space="0" w:color="auto"/>
                  </w:divBdr>
                </w:div>
                <w:div w:id="666249852">
                  <w:marLeft w:val="0"/>
                  <w:marRight w:val="0"/>
                  <w:marTop w:val="0"/>
                  <w:marBottom w:val="0"/>
                  <w:divBdr>
                    <w:top w:val="none" w:sz="0" w:space="0" w:color="auto"/>
                    <w:left w:val="none" w:sz="0" w:space="0" w:color="auto"/>
                    <w:bottom w:val="none" w:sz="0" w:space="0" w:color="auto"/>
                    <w:right w:val="none" w:sz="0" w:space="0" w:color="auto"/>
                  </w:divBdr>
                </w:div>
                <w:div w:id="2008244021">
                  <w:marLeft w:val="0"/>
                  <w:marRight w:val="0"/>
                  <w:marTop w:val="0"/>
                  <w:marBottom w:val="0"/>
                  <w:divBdr>
                    <w:top w:val="none" w:sz="0" w:space="0" w:color="auto"/>
                    <w:left w:val="none" w:sz="0" w:space="0" w:color="auto"/>
                    <w:bottom w:val="none" w:sz="0" w:space="0" w:color="auto"/>
                    <w:right w:val="none" w:sz="0" w:space="0" w:color="auto"/>
                  </w:divBdr>
                </w:div>
                <w:div w:id="401754028">
                  <w:marLeft w:val="0"/>
                  <w:marRight w:val="0"/>
                  <w:marTop w:val="0"/>
                  <w:marBottom w:val="0"/>
                  <w:divBdr>
                    <w:top w:val="none" w:sz="0" w:space="0" w:color="auto"/>
                    <w:left w:val="none" w:sz="0" w:space="0" w:color="auto"/>
                    <w:bottom w:val="none" w:sz="0" w:space="0" w:color="auto"/>
                    <w:right w:val="none" w:sz="0" w:space="0" w:color="auto"/>
                  </w:divBdr>
                </w:div>
                <w:div w:id="647128684">
                  <w:marLeft w:val="0"/>
                  <w:marRight w:val="0"/>
                  <w:marTop w:val="0"/>
                  <w:marBottom w:val="0"/>
                  <w:divBdr>
                    <w:top w:val="none" w:sz="0" w:space="0" w:color="auto"/>
                    <w:left w:val="none" w:sz="0" w:space="0" w:color="auto"/>
                    <w:bottom w:val="none" w:sz="0" w:space="0" w:color="auto"/>
                    <w:right w:val="none" w:sz="0" w:space="0" w:color="auto"/>
                  </w:divBdr>
                </w:div>
                <w:div w:id="1759789449">
                  <w:marLeft w:val="0"/>
                  <w:marRight w:val="0"/>
                  <w:marTop w:val="0"/>
                  <w:marBottom w:val="0"/>
                  <w:divBdr>
                    <w:top w:val="none" w:sz="0" w:space="0" w:color="auto"/>
                    <w:left w:val="none" w:sz="0" w:space="0" w:color="auto"/>
                    <w:bottom w:val="none" w:sz="0" w:space="0" w:color="auto"/>
                    <w:right w:val="none" w:sz="0" w:space="0" w:color="auto"/>
                  </w:divBdr>
                </w:div>
                <w:div w:id="1284774059">
                  <w:marLeft w:val="0"/>
                  <w:marRight w:val="0"/>
                  <w:marTop w:val="0"/>
                  <w:marBottom w:val="0"/>
                  <w:divBdr>
                    <w:top w:val="none" w:sz="0" w:space="0" w:color="auto"/>
                    <w:left w:val="none" w:sz="0" w:space="0" w:color="auto"/>
                    <w:bottom w:val="none" w:sz="0" w:space="0" w:color="auto"/>
                    <w:right w:val="none" w:sz="0" w:space="0" w:color="auto"/>
                  </w:divBdr>
                </w:div>
                <w:div w:id="2047631956">
                  <w:marLeft w:val="0"/>
                  <w:marRight w:val="0"/>
                  <w:marTop w:val="0"/>
                  <w:marBottom w:val="0"/>
                  <w:divBdr>
                    <w:top w:val="none" w:sz="0" w:space="0" w:color="auto"/>
                    <w:left w:val="none" w:sz="0" w:space="0" w:color="auto"/>
                    <w:bottom w:val="none" w:sz="0" w:space="0" w:color="auto"/>
                    <w:right w:val="none" w:sz="0" w:space="0" w:color="auto"/>
                  </w:divBdr>
                </w:div>
                <w:div w:id="1119908143">
                  <w:marLeft w:val="0"/>
                  <w:marRight w:val="0"/>
                  <w:marTop w:val="0"/>
                  <w:marBottom w:val="0"/>
                  <w:divBdr>
                    <w:top w:val="none" w:sz="0" w:space="0" w:color="auto"/>
                    <w:left w:val="none" w:sz="0" w:space="0" w:color="auto"/>
                    <w:bottom w:val="none" w:sz="0" w:space="0" w:color="auto"/>
                    <w:right w:val="none" w:sz="0" w:space="0" w:color="auto"/>
                  </w:divBdr>
                </w:div>
                <w:div w:id="1293553952">
                  <w:marLeft w:val="0"/>
                  <w:marRight w:val="0"/>
                  <w:marTop w:val="0"/>
                  <w:marBottom w:val="0"/>
                  <w:divBdr>
                    <w:top w:val="none" w:sz="0" w:space="0" w:color="auto"/>
                    <w:left w:val="none" w:sz="0" w:space="0" w:color="auto"/>
                    <w:bottom w:val="none" w:sz="0" w:space="0" w:color="auto"/>
                    <w:right w:val="none" w:sz="0" w:space="0" w:color="auto"/>
                  </w:divBdr>
                </w:div>
                <w:div w:id="285820217">
                  <w:marLeft w:val="0"/>
                  <w:marRight w:val="0"/>
                  <w:marTop w:val="0"/>
                  <w:marBottom w:val="0"/>
                  <w:divBdr>
                    <w:top w:val="none" w:sz="0" w:space="0" w:color="auto"/>
                    <w:left w:val="none" w:sz="0" w:space="0" w:color="auto"/>
                    <w:bottom w:val="none" w:sz="0" w:space="0" w:color="auto"/>
                    <w:right w:val="none" w:sz="0" w:space="0" w:color="auto"/>
                  </w:divBdr>
                </w:div>
                <w:div w:id="1012224885">
                  <w:marLeft w:val="0"/>
                  <w:marRight w:val="0"/>
                  <w:marTop w:val="0"/>
                  <w:marBottom w:val="0"/>
                  <w:divBdr>
                    <w:top w:val="none" w:sz="0" w:space="0" w:color="auto"/>
                    <w:left w:val="none" w:sz="0" w:space="0" w:color="auto"/>
                    <w:bottom w:val="none" w:sz="0" w:space="0" w:color="auto"/>
                    <w:right w:val="none" w:sz="0" w:space="0" w:color="auto"/>
                  </w:divBdr>
                </w:div>
                <w:div w:id="1639609945">
                  <w:marLeft w:val="0"/>
                  <w:marRight w:val="0"/>
                  <w:marTop w:val="0"/>
                  <w:marBottom w:val="0"/>
                  <w:divBdr>
                    <w:top w:val="none" w:sz="0" w:space="0" w:color="auto"/>
                    <w:left w:val="none" w:sz="0" w:space="0" w:color="auto"/>
                    <w:bottom w:val="none" w:sz="0" w:space="0" w:color="auto"/>
                    <w:right w:val="none" w:sz="0" w:space="0" w:color="auto"/>
                  </w:divBdr>
                </w:div>
                <w:div w:id="1371345729">
                  <w:marLeft w:val="0"/>
                  <w:marRight w:val="0"/>
                  <w:marTop w:val="0"/>
                  <w:marBottom w:val="0"/>
                  <w:divBdr>
                    <w:top w:val="none" w:sz="0" w:space="0" w:color="auto"/>
                    <w:left w:val="none" w:sz="0" w:space="0" w:color="auto"/>
                    <w:bottom w:val="none" w:sz="0" w:space="0" w:color="auto"/>
                    <w:right w:val="none" w:sz="0" w:space="0" w:color="auto"/>
                  </w:divBdr>
                </w:div>
                <w:div w:id="1016158749">
                  <w:marLeft w:val="0"/>
                  <w:marRight w:val="0"/>
                  <w:marTop w:val="0"/>
                  <w:marBottom w:val="0"/>
                  <w:divBdr>
                    <w:top w:val="none" w:sz="0" w:space="0" w:color="auto"/>
                    <w:left w:val="none" w:sz="0" w:space="0" w:color="auto"/>
                    <w:bottom w:val="none" w:sz="0" w:space="0" w:color="auto"/>
                    <w:right w:val="none" w:sz="0" w:space="0" w:color="auto"/>
                  </w:divBdr>
                </w:div>
                <w:div w:id="576021126">
                  <w:marLeft w:val="0"/>
                  <w:marRight w:val="0"/>
                  <w:marTop w:val="0"/>
                  <w:marBottom w:val="0"/>
                  <w:divBdr>
                    <w:top w:val="none" w:sz="0" w:space="0" w:color="auto"/>
                    <w:left w:val="none" w:sz="0" w:space="0" w:color="auto"/>
                    <w:bottom w:val="none" w:sz="0" w:space="0" w:color="auto"/>
                    <w:right w:val="none" w:sz="0" w:space="0" w:color="auto"/>
                  </w:divBdr>
                </w:div>
                <w:div w:id="1272783841">
                  <w:marLeft w:val="0"/>
                  <w:marRight w:val="0"/>
                  <w:marTop w:val="0"/>
                  <w:marBottom w:val="0"/>
                  <w:divBdr>
                    <w:top w:val="none" w:sz="0" w:space="0" w:color="auto"/>
                    <w:left w:val="none" w:sz="0" w:space="0" w:color="auto"/>
                    <w:bottom w:val="none" w:sz="0" w:space="0" w:color="auto"/>
                    <w:right w:val="none" w:sz="0" w:space="0" w:color="auto"/>
                  </w:divBdr>
                </w:div>
                <w:div w:id="90442382">
                  <w:marLeft w:val="0"/>
                  <w:marRight w:val="0"/>
                  <w:marTop w:val="0"/>
                  <w:marBottom w:val="0"/>
                  <w:divBdr>
                    <w:top w:val="none" w:sz="0" w:space="0" w:color="auto"/>
                    <w:left w:val="none" w:sz="0" w:space="0" w:color="auto"/>
                    <w:bottom w:val="none" w:sz="0" w:space="0" w:color="auto"/>
                    <w:right w:val="none" w:sz="0" w:space="0" w:color="auto"/>
                  </w:divBdr>
                </w:div>
                <w:div w:id="26953257">
                  <w:marLeft w:val="0"/>
                  <w:marRight w:val="0"/>
                  <w:marTop w:val="0"/>
                  <w:marBottom w:val="0"/>
                  <w:divBdr>
                    <w:top w:val="none" w:sz="0" w:space="0" w:color="auto"/>
                    <w:left w:val="none" w:sz="0" w:space="0" w:color="auto"/>
                    <w:bottom w:val="none" w:sz="0" w:space="0" w:color="auto"/>
                    <w:right w:val="none" w:sz="0" w:space="0" w:color="auto"/>
                  </w:divBdr>
                </w:div>
                <w:div w:id="911938139">
                  <w:marLeft w:val="0"/>
                  <w:marRight w:val="0"/>
                  <w:marTop w:val="0"/>
                  <w:marBottom w:val="0"/>
                  <w:divBdr>
                    <w:top w:val="none" w:sz="0" w:space="0" w:color="auto"/>
                    <w:left w:val="none" w:sz="0" w:space="0" w:color="auto"/>
                    <w:bottom w:val="none" w:sz="0" w:space="0" w:color="auto"/>
                    <w:right w:val="none" w:sz="0" w:space="0" w:color="auto"/>
                  </w:divBdr>
                </w:div>
                <w:div w:id="1225264740">
                  <w:marLeft w:val="0"/>
                  <w:marRight w:val="0"/>
                  <w:marTop w:val="0"/>
                  <w:marBottom w:val="0"/>
                  <w:divBdr>
                    <w:top w:val="none" w:sz="0" w:space="0" w:color="auto"/>
                    <w:left w:val="none" w:sz="0" w:space="0" w:color="auto"/>
                    <w:bottom w:val="none" w:sz="0" w:space="0" w:color="auto"/>
                    <w:right w:val="none" w:sz="0" w:space="0" w:color="auto"/>
                  </w:divBdr>
                </w:div>
                <w:div w:id="506483996">
                  <w:marLeft w:val="0"/>
                  <w:marRight w:val="0"/>
                  <w:marTop w:val="0"/>
                  <w:marBottom w:val="0"/>
                  <w:divBdr>
                    <w:top w:val="none" w:sz="0" w:space="0" w:color="auto"/>
                    <w:left w:val="none" w:sz="0" w:space="0" w:color="auto"/>
                    <w:bottom w:val="none" w:sz="0" w:space="0" w:color="auto"/>
                    <w:right w:val="none" w:sz="0" w:space="0" w:color="auto"/>
                  </w:divBdr>
                </w:div>
                <w:div w:id="904802923">
                  <w:marLeft w:val="0"/>
                  <w:marRight w:val="0"/>
                  <w:marTop w:val="0"/>
                  <w:marBottom w:val="0"/>
                  <w:divBdr>
                    <w:top w:val="none" w:sz="0" w:space="0" w:color="auto"/>
                    <w:left w:val="none" w:sz="0" w:space="0" w:color="auto"/>
                    <w:bottom w:val="none" w:sz="0" w:space="0" w:color="auto"/>
                    <w:right w:val="none" w:sz="0" w:space="0" w:color="auto"/>
                  </w:divBdr>
                </w:div>
                <w:div w:id="1145585398">
                  <w:marLeft w:val="0"/>
                  <w:marRight w:val="0"/>
                  <w:marTop w:val="0"/>
                  <w:marBottom w:val="0"/>
                  <w:divBdr>
                    <w:top w:val="none" w:sz="0" w:space="0" w:color="auto"/>
                    <w:left w:val="none" w:sz="0" w:space="0" w:color="auto"/>
                    <w:bottom w:val="none" w:sz="0" w:space="0" w:color="auto"/>
                    <w:right w:val="none" w:sz="0" w:space="0" w:color="auto"/>
                  </w:divBdr>
                </w:div>
                <w:div w:id="2069843631">
                  <w:marLeft w:val="0"/>
                  <w:marRight w:val="0"/>
                  <w:marTop w:val="0"/>
                  <w:marBottom w:val="0"/>
                  <w:divBdr>
                    <w:top w:val="none" w:sz="0" w:space="0" w:color="auto"/>
                    <w:left w:val="none" w:sz="0" w:space="0" w:color="auto"/>
                    <w:bottom w:val="none" w:sz="0" w:space="0" w:color="auto"/>
                    <w:right w:val="none" w:sz="0" w:space="0" w:color="auto"/>
                  </w:divBdr>
                </w:div>
                <w:div w:id="486287695">
                  <w:marLeft w:val="0"/>
                  <w:marRight w:val="0"/>
                  <w:marTop w:val="0"/>
                  <w:marBottom w:val="0"/>
                  <w:divBdr>
                    <w:top w:val="none" w:sz="0" w:space="0" w:color="auto"/>
                    <w:left w:val="none" w:sz="0" w:space="0" w:color="auto"/>
                    <w:bottom w:val="none" w:sz="0" w:space="0" w:color="auto"/>
                    <w:right w:val="none" w:sz="0" w:space="0" w:color="auto"/>
                  </w:divBdr>
                </w:div>
                <w:div w:id="1395393827">
                  <w:marLeft w:val="0"/>
                  <w:marRight w:val="0"/>
                  <w:marTop w:val="0"/>
                  <w:marBottom w:val="0"/>
                  <w:divBdr>
                    <w:top w:val="none" w:sz="0" w:space="0" w:color="auto"/>
                    <w:left w:val="none" w:sz="0" w:space="0" w:color="auto"/>
                    <w:bottom w:val="none" w:sz="0" w:space="0" w:color="auto"/>
                    <w:right w:val="none" w:sz="0" w:space="0" w:color="auto"/>
                  </w:divBdr>
                </w:div>
                <w:div w:id="675887275">
                  <w:marLeft w:val="0"/>
                  <w:marRight w:val="0"/>
                  <w:marTop w:val="0"/>
                  <w:marBottom w:val="0"/>
                  <w:divBdr>
                    <w:top w:val="none" w:sz="0" w:space="0" w:color="auto"/>
                    <w:left w:val="none" w:sz="0" w:space="0" w:color="auto"/>
                    <w:bottom w:val="none" w:sz="0" w:space="0" w:color="auto"/>
                    <w:right w:val="none" w:sz="0" w:space="0" w:color="auto"/>
                  </w:divBdr>
                </w:div>
                <w:div w:id="290016636">
                  <w:marLeft w:val="0"/>
                  <w:marRight w:val="0"/>
                  <w:marTop w:val="0"/>
                  <w:marBottom w:val="0"/>
                  <w:divBdr>
                    <w:top w:val="none" w:sz="0" w:space="0" w:color="auto"/>
                    <w:left w:val="none" w:sz="0" w:space="0" w:color="auto"/>
                    <w:bottom w:val="none" w:sz="0" w:space="0" w:color="auto"/>
                    <w:right w:val="none" w:sz="0" w:space="0" w:color="auto"/>
                  </w:divBdr>
                </w:div>
                <w:div w:id="739447173">
                  <w:marLeft w:val="0"/>
                  <w:marRight w:val="0"/>
                  <w:marTop w:val="0"/>
                  <w:marBottom w:val="0"/>
                  <w:divBdr>
                    <w:top w:val="none" w:sz="0" w:space="0" w:color="auto"/>
                    <w:left w:val="none" w:sz="0" w:space="0" w:color="auto"/>
                    <w:bottom w:val="none" w:sz="0" w:space="0" w:color="auto"/>
                    <w:right w:val="none" w:sz="0" w:space="0" w:color="auto"/>
                  </w:divBdr>
                </w:div>
                <w:div w:id="522322463">
                  <w:marLeft w:val="0"/>
                  <w:marRight w:val="0"/>
                  <w:marTop w:val="0"/>
                  <w:marBottom w:val="0"/>
                  <w:divBdr>
                    <w:top w:val="none" w:sz="0" w:space="0" w:color="auto"/>
                    <w:left w:val="none" w:sz="0" w:space="0" w:color="auto"/>
                    <w:bottom w:val="none" w:sz="0" w:space="0" w:color="auto"/>
                    <w:right w:val="none" w:sz="0" w:space="0" w:color="auto"/>
                  </w:divBdr>
                </w:div>
                <w:div w:id="1766148040">
                  <w:marLeft w:val="0"/>
                  <w:marRight w:val="0"/>
                  <w:marTop w:val="0"/>
                  <w:marBottom w:val="0"/>
                  <w:divBdr>
                    <w:top w:val="none" w:sz="0" w:space="0" w:color="auto"/>
                    <w:left w:val="none" w:sz="0" w:space="0" w:color="auto"/>
                    <w:bottom w:val="none" w:sz="0" w:space="0" w:color="auto"/>
                    <w:right w:val="none" w:sz="0" w:space="0" w:color="auto"/>
                  </w:divBdr>
                </w:div>
                <w:div w:id="1550916530">
                  <w:marLeft w:val="0"/>
                  <w:marRight w:val="0"/>
                  <w:marTop w:val="0"/>
                  <w:marBottom w:val="0"/>
                  <w:divBdr>
                    <w:top w:val="none" w:sz="0" w:space="0" w:color="auto"/>
                    <w:left w:val="none" w:sz="0" w:space="0" w:color="auto"/>
                    <w:bottom w:val="none" w:sz="0" w:space="0" w:color="auto"/>
                    <w:right w:val="none" w:sz="0" w:space="0" w:color="auto"/>
                  </w:divBdr>
                </w:div>
                <w:div w:id="2125534707">
                  <w:marLeft w:val="0"/>
                  <w:marRight w:val="0"/>
                  <w:marTop w:val="0"/>
                  <w:marBottom w:val="0"/>
                  <w:divBdr>
                    <w:top w:val="none" w:sz="0" w:space="0" w:color="auto"/>
                    <w:left w:val="none" w:sz="0" w:space="0" w:color="auto"/>
                    <w:bottom w:val="none" w:sz="0" w:space="0" w:color="auto"/>
                    <w:right w:val="none" w:sz="0" w:space="0" w:color="auto"/>
                  </w:divBdr>
                </w:div>
                <w:div w:id="329405605">
                  <w:marLeft w:val="0"/>
                  <w:marRight w:val="0"/>
                  <w:marTop w:val="0"/>
                  <w:marBottom w:val="0"/>
                  <w:divBdr>
                    <w:top w:val="none" w:sz="0" w:space="0" w:color="auto"/>
                    <w:left w:val="none" w:sz="0" w:space="0" w:color="auto"/>
                    <w:bottom w:val="none" w:sz="0" w:space="0" w:color="auto"/>
                    <w:right w:val="none" w:sz="0" w:space="0" w:color="auto"/>
                  </w:divBdr>
                </w:div>
                <w:div w:id="1781408572">
                  <w:marLeft w:val="0"/>
                  <w:marRight w:val="0"/>
                  <w:marTop w:val="0"/>
                  <w:marBottom w:val="0"/>
                  <w:divBdr>
                    <w:top w:val="none" w:sz="0" w:space="0" w:color="auto"/>
                    <w:left w:val="none" w:sz="0" w:space="0" w:color="auto"/>
                    <w:bottom w:val="none" w:sz="0" w:space="0" w:color="auto"/>
                    <w:right w:val="none" w:sz="0" w:space="0" w:color="auto"/>
                  </w:divBdr>
                </w:div>
                <w:div w:id="1485972898">
                  <w:marLeft w:val="0"/>
                  <w:marRight w:val="0"/>
                  <w:marTop w:val="0"/>
                  <w:marBottom w:val="0"/>
                  <w:divBdr>
                    <w:top w:val="none" w:sz="0" w:space="0" w:color="auto"/>
                    <w:left w:val="none" w:sz="0" w:space="0" w:color="auto"/>
                    <w:bottom w:val="none" w:sz="0" w:space="0" w:color="auto"/>
                    <w:right w:val="none" w:sz="0" w:space="0" w:color="auto"/>
                  </w:divBdr>
                </w:div>
                <w:div w:id="1060321450">
                  <w:marLeft w:val="0"/>
                  <w:marRight w:val="0"/>
                  <w:marTop w:val="0"/>
                  <w:marBottom w:val="0"/>
                  <w:divBdr>
                    <w:top w:val="none" w:sz="0" w:space="0" w:color="auto"/>
                    <w:left w:val="none" w:sz="0" w:space="0" w:color="auto"/>
                    <w:bottom w:val="none" w:sz="0" w:space="0" w:color="auto"/>
                    <w:right w:val="none" w:sz="0" w:space="0" w:color="auto"/>
                  </w:divBdr>
                </w:div>
                <w:div w:id="1529177506">
                  <w:marLeft w:val="0"/>
                  <w:marRight w:val="0"/>
                  <w:marTop w:val="0"/>
                  <w:marBottom w:val="0"/>
                  <w:divBdr>
                    <w:top w:val="none" w:sz="0" w:space="0" w:color="auto"/>
                    <w:left w:val="none" w:sz="0" w:space="0" w:color="auto"/>
                    <w:bottom w:val="none" w:sz="0" w:space="0" w:color="auto"/>
                    <w:right w:val="none" w:sz="0" w:space="0" w:color="auto"/>
                  </w:divBdr>
                </w:div>
                <w:div w:id="412240339">
                  <w:marLeft w:val="0"/>
                  <w:marRight w:val="0"/>
                  <w:marTop w:val="0"/>
                  <w:marBottom w:val="0"/>
                  <w:divBdr>
                    <w:top w:val="none" w:sz="0" w:space="0" w:color="auto"/>
                    <w:left w:val="none" w:sz="0" w:space="0" w:color="auto"/>
                    <w:bottom w:val="none" w:sz="0" w:space="0" w:color="auto"/>
                    <w:right w:val="none" w:sz="0" w:space="0" w:color="auto"/>
                  </w:divBdr>
                </w:div>
                <w:div w:id="869103831">
                  <w:marLeft w:val="0"/>
                  <w:marRight w:val="0"/>
                  <w:marTop w:val="0"/>
                  <w:marBottom w:val="0"/>
                  <w:divBdr>
                    <w:top w:val="none" w:sz="0" w:space="0" w:color="auto"/>
                    <w:left w:val="none" w:sz="0" w:space="0" w:color="auto"/>
                    <w:bottom w:val="none" w:sz="0" w:space="0" w:color="auto"/>
                    <w:right w:val="none" w:sz="0" w:space="0" w:color="auto"/>
                  </w:divBdr>
                </w:div>
                <w:div w:id="134107838">
                  <w:marLeft w:val="0"/>
                  <w:marRight w:val="0"/>
                  <w:marTop w:val="0"/>
                  <w:marBottom w:val="0"/>
                  <w:divBdr>
                    <w:top w:val="none" w:sz="0" w:space="0" w:color="auto"/>
                    <w:left w:val="none" w:sz="0" w:space="0" w:color="auto"/>
                    <w:bottom w:val="none" w:sz="0" w:space="0" w:color="auto"/>
                    <w:right w:val="none" w:sz="0" w:space="0" w:color="auto"/>
                  </w:divBdr>
                </w:div>
                <w:div w:id="1602182439">
                  <w:marLeft w:val="0"/>
                  <w:marRight w:val="0"/>
                  <w:marTop w:val="0"/>
                  <w:marBottom w:val="0"/>
                  <w:divBdr>
                    <w:top w:val="none" w:sz="0" w:space="0" w:color="auto"/>
                    <w:left w:val="none" w:sz="0" w:space="0" w:color="auto"/>
                    <w:bottom w:val="none" w:sz="0" w:space="0" w:color="auto"/>
                    <w:right w:val="none" w:sz="0" w:space="0" w:color="auto"/>
                  </w:divBdr>
                </w:div>
                <w:div w:id="1011957593">
                  <w:marLeft w:val="0"/>
                  <w:marRight w:val="0"/>
                  <w:marTop w:val="0"/>
                  <w:marBottom w:val="0"/>
                  <w:divBdr>
                    <w:top w:val="none" w:sz="0" w:space="0" w:color="auto"/>
                    <w:left w:val="none" w:sz="0" w:space="0" w:color="auto"/>
                    <w:bottom w:val="none" w:sz="0" w:space="0" w:color="auto"/>
                    <w:right w:val="none" w:sz="0" w:space="0" w:color="auto"/>
                  </w:divBdr>
                </w:div>
                <w:div w:id="1389455936">
                  <w:marLeft w:val="0"/>
                  <w:marRight w:val="0"/>
                  <w:marTop w:val="0"/>
                  <w:marBottom w:val="0"/>
                  <w:divBdr>
                    <w:top w:val="none" w:sz="0" w:space="0" w:color="auto"/>
                    <w:left w:val="none" w:sz="0" w:space="0" w:color="auto"/>
                    <w:bottom w:val="none" w:sz="0" w:space="0" w:color="auto"/>
                    <w:right w:val="none" w:sz="0" w:space="0" w:color="auto"/>
                  </w:divBdr>
                </w:div>
                <w:div w:id="912931914">
                  <w:marLeft w:val="0"/>
                  <w:marRight w:val="0"/>
                  <w:marTop w:val="0"/>
                  <w:marBottom w:val="0"/>
                  <w:divBdr>
                    <w:top w:val="none" w:sz="0" w:space="0" w:color="auto"/>
                    <w:left w:val="none" w:sz="0" w:space="0" w:color="auto"/>
                    <w:bottom w:val="none" w:sz="0" w:space="0" w:color="auto"/>
                    <w:right w:val="none" w:sz="0" w:space="0" w:color="auto"/>
                  </w:divBdr>
                </w:div>
                <w:div w:id="1953051114">
                  <w:marLeft w:val="0"/>
                  <w:marRight w:val="0"/>
                  <w:marTop w:val="0"/>
                  <w:marBottom w:val="0"/>
                  <w:divBdr>
                    <w:top w:val="none" w:sz="0" w:space="0" w:color="auto"/>
                    <w:left w:val="none" w:sz="0" w:space="0" w:color="auto"/>
                    <w:bottom w:val="none" w:sz="0" w:space="0" w:color="auto"/>
                    <w:right w:val="none" w:sz="0" w:space="0" w:color="auto"/>
                  </w:divBdr>
                </w:div>
                <w:div w:id="46075574">
                  <w:marLeft w:val="0"/>
                  <w:marRight w:val="0"/>
                  <w:marTop w:val="0"/>
                  <w:marBottom w:val="0"/>
                  <w:divBdr>
                    <w:top w:val="none" w:sz="0" w:space="0" w:color="auto"/>
                    <w:left w:val="none" w:sz="0" w:space="0" w:color="auto"/>
                    <w:bottom w:val="none" w:sz="0" w:space="0" w:color="auto"/>
                    <w:right w:val="none" w:sz="0" w:space="0" w:color="auto"/>
                  </w:divBdr>
                </w:div>
                <w:div w:id="1814177442">
                  <w:marLeft w:val="0"/>
                  <w:marRight w:val="0"/>
                  <w:marTop w:val="0"/>
                  <w:marBottom w:val="0"/>
                  <w:divBdr>
                    <w:top w:val="none" w:sz="0" w:space="0" w:color="auto"/>
                    <w:left w:val="none" w:sz="0" w:space="0" w:color="auto"/>
                    <w:bottom w:val="none" w:sz="0" w:space="0" w:color="auto"/>
                    <w:right w:val="none" w:sz="0" w:space="0" w:color="auto"/>
                  </w:divBdr>
                </w:div>
                <w:div w:id="581379675">
                  <w:marLeft w:val="0"/>
                  <w:marRight w:val="0"/>
                  <w:marTop w:val="0"/>
                  <w:marBottom w:val="0"/>
                  <w:divBdr>
                    <w:top w:val="none" w:sz="0" w:space="0" w:color="auto"/>
                    <w:left w:val="none" w:sz="0" w:space="0" w:color="auto"/>
                    <w:bottom w:val="none" w:sz="0" w:space="0" w:color="auto"/>
                    <w:right w:val="none" w:sz="0" w:space="0" w:color="auto"/>
                  </w:divBdr>
                </w:div>
                <w:div w:id="2042196618">
                  <w:marLeft w:val="0"/>
                  <w:marRight w:val="0"/>
                  <w:marTop w:val="0"/>
                  <w:marBottom w:val="0"/>
                  <w:divBdr>
                    <w:top w:val="none" w:sz="0" w:space="0" w:color="auto"/>
                    <w:left w:val="none" w:sz="0" w:space="0" w:color="auto"/>
                    <w:bottom w:val="none" w:sz="0" w:space="0" w:color="auto"/>
                    <w:right w:val="none" w:sz="0" w:space="0" w:color="auto"/>
                  </w:divBdr>
                </w:div>
                <w:div w:id="868685468">
                  <w:marLeft w:val="0"/>
                  <w:marRight w:val="0"/>
                  <w:marTop w:val="0"/>
                  <w:marBottom w:val="0"/>
                  <w:divBdr>
                    <w:top w:val="none" w:sz="0" w:space="0" w:color="auto"/>
                    <w:left w:val="none" w:sz="0" w:space="0" w:color="auto"/>
                    <w:bottom w:val="none" w:sz="0" w:space="0" w:color="auto"/>
                    <w:right w:val="none" w:sz="0" w:space="0" w:color="auto"/>
                  </w:divBdr>
                </w:div>
                <w:div w:id="1540319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005204">
          <w:marLeft w:val="0"/>
          <w:marRight w:val="0"/>
          <w:marTop w:val="15"/>
          <w:marBottom w:val="0"/>
          <w:divBdr>
            <w:top w:val="none" w:sz="0" w:space="0" w:color="auto"/>
            <w:left w:val="none" w:sz="0" w:space="0" w:color="auto"/>
            <w:bottom w:val="none" w:sz="0" w:space="0" w:color="auto"/>
            <w:right w:val="none" w:sz="0" w:space="0" w:color="auto"/>
          </w:divBdr>
        </w:div>
      </w:divsChild>
    </w:div>
    <w:div w:id="1433163975">
      <w:bodyDiv w:val="1"/>
      <w:marLeft w:val="0"/>
      <w:marRight w:val="0"/>
      <w:marTop w:val="0"/>
      <w:marBottom w:val="0"/>
      <w:divBdr>
        <w:top w:val="none" w:sz="0" w:space="0" w:color="auto"/>
        <w:left w:val="none" w:sz="0" w:space="0" w:color="auto"/>
        <w:bottom w:val="none" w:sz="0" w:space="0" w:color="auto"/>
        <w:right w:val="none" w:sz="0" w:space="0" w:color="auto"/>
      </w:divBdr>
    </w:div>
    <w:div w:id="1477645736">
      <w:bodyDiv w:val="1"/>
      <w:marLeft w:val="0"/>
      <w:marRight w:val="0"/>
      <w:marTop w:val="0"/>
      <w:marBottom w:val="0"/>
      <w:divBdr>
        <w:top w:val="none" w:sz="0" w:space="0" w:color="auto"/>
        <w:left w:val="none" w:sz="0" w:space="0" w:color="auto"/>
        <w:bottom w:val="none" w:sz="0" w:space="0" w:color="auto"/>
        <w:right w:val="none" w:sz="0" w:space="0" w:color="auto"/>
      </w:divBdr>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2350662">
      <w:bodyDiv w:val="1"/>
      <w:marLeft w:val="0"/>
      <w:marRight w:val="0"/>
      <w:marTop w:val="0"/>
      <w:marBottom w:val="0"/>
      <w:divBdr>
        <w:top w:val="none" w:sz="0" w:space="0" w:color="auto"/>
        <w:left w:val="none" w:sz="0" w:space="0" w:color="auto"/>
        <w:bottom w:val="none" w:sz="0" w:space="0" w:color="auto"/>
        <w:right w:val="none" w:sz="0" w:space="0" w:color="auto"/>
      </w:divBdr>
      <w:divsChild>
        <w:div w:id="467286172">
          <w:marLeft w:val="0"/>
          <w:marRight w:val="0"/>
          <w:marTop w:val="0"/>
          <w:marBottom w:val="0"/>
          <w:divBdr>
            <w:top w:val="none" w:sz="0" w:space="0" w:color="auto"/>
            <w:left w:val="none" w:sz="0" w:space="0" w:color="auto"/>
            <w:bottom w:val="none" w:sz="0" w:space="0" w:color="auto"/>
            <w:right w:val="none" w:sz="0" w:space="0" w:color="auto"/>
          </w:divBdr>
          <w:divsChild>
            <w:div w:id="519507993">
              <w:marLeft w:val="0"/>
              <w:marRight w:val="0"/>
              <w:marTop w:val="0"/>
              <w:marBottom w:val="0"/>
              <w:divBdr>
                <w:top w:val="none" w:sz="0" w:space="0" w:color="auto"/>
                <w:left w:val="none" w:sz="0" w:space="0" w:color="auto"/>
                <w:bottom w:val="none" w:sz="0" w:space="0" w:color="auto"/>
                <w:right w:val="none" w:sz="0" w:space="0" w:color="auto"/>
              </w:divBdr>
              <w:divsChild>
                <w:div w:id="1100688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9921760">
      <w:bodyDiv w:val="1"/>
      <w:marLeft w:val="0"/>
      <w:marRight w:val="0"/>
      <w:marTop w:val="0"/>
      <w:marBottom w:val="0"/>
      <w:divBdr>
        <w:top w:val="none" w:sz="0" w:space="0" w:color="auto"/>
        <w:left w:val="none" w:sz="0" w:space="0" w:color="auto"/>
        <w:bottom w:val="none" w:sz="0" w:space="0" w:color="auto"/>
        <w:right w:val="none" w:sz="0" w:space="0" w:color="auto"/>
      </w:divBdr>
    </w:div>
    <w:div w:id="1610548223">
      <w:bodyDiv w:val="1"/>
      <w:marLeft w:val="0"/>
      <w:marRight w:val="0"/>
      <w:marTop w:val="0"/>
      <w:marBottom w:val="0"/>
      <w:divBdr>
        <w:top w:val="none" w:sz="0" w:space="0" w:color="auto"/>
        <w:left w:val="none" w:sz="0" w:space="0" w:color="auto"/>
        <w:bottom w:val="none" w:sz="0" w:space="0" w:color="auto"/>
        <w:right w:val="none" w:sz="0" w:space="0" w:color="auto"/>
      </w:divBdr>
      <w:divsChild>
        <w:div w:id="826243023">
          <w:marLeft w:val="0"/>
          <w:marRight w:val="0"/>
          <w:marTop w:val="0"/>
          <w:marBottom w:val="0"/>
          <w:divBdr>
            <w:top w:val="none" w:sz="0" w:space="0" w:color="auto"/>
            <w:left w:val="none" w:sz="0" w:space="0" w:color="auto"/>
            <w:bottom w:val="none" w:sz="0" w:space="0" w:color="auto"/>
            <w:right w:val="none" w:sz="0" w:space="0" w:color="auto"/>
          </w:divBdr>
          <w:divsChild>
            <w:div w:id="332999434">
              <w:marLeft w:val="0"/>
              <w:marRight w:val="0"/>
              <w:marTop w:val="0"/>
              <w:marBottom w:val="0"/>
              <w:divBdr>
                <w:top w:val="none" w:sz="0" w:space="0" w:color="auto"/>
                <w:left w:val="none" w:sz="0" w:space="0" w:color="auto"/>
                <w:bottom w:val="none" w:sz="0" w:space="0" w:color="auto"/>
                <w:right w:val="none" w:sz="0" w:space="0" w:color="auto"/>
              </w:divBdr>
              <w:divsChild>
                <w:div w:id="1033069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832912">
      <w:bodyDiv w:val="1"/>
      <w:marLeft w:val="0"/>
      <w:marRight w:val="0"/>
      <w:marTop w:val="0"/>
      <w:marBottom w:val="0"/>
      <w:divBdr>
        <w:top w:val="none" w:sz="0" w:space="0" w:color="auto"/>
        <w:left w:val="none" w:sz="0" w:space="0" w:color="auto"/>
        <w:bottom w:val="none" w:sz="0" w:space="0" w:color="auto"/>
        <w:right w:val="none" w:sz="0" w:space="0" w:color="auto"/>
      </w:divBdr>
    </w:div>
    <w:div w:id="1748111710">
      <w:bodyDiv w:val="1"/>
      <w:marLeft w:val="0"/>
      <w:marRight w:val="0"/>
      <w:marTop w:val="0"/>
      <w:marBottom w:val="0"/>
      <w:divBdr>
        <w:top w:val="none" w:sz="0" w:space="0" w:color="auto"/>
        <w:left w:val="none" w:sz="0" w:space="0" w:color="auto"/>
        <w:bottom w:val="none" w:sz="0" w:space="0" w:color="auto"/>
        <w:right w:val="none" w:sz="0" w:space="0" w:color="auto"/>
      </w:divBdr>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4449933">
      <w:bodyDiv w:val="1"/>
      <w:marLeft w:val="0"/>
      <w:marRight w:val="0"/>
      <w:marTop w:val="0"/>
      <w:marBottom w:val="0"/>
      <w:divBdr>
        <w:top w:val="none" w:sz="0" w:space="0" w:color="auto"/>
        <w:left w:val="none" w:sz="0" w:space="0" w:color="auto"/>
        <w:bottom w:val="none" w:sz="0" w:space="0" w:color="auto"/>
        <w:right w:val="none" w:sz="0" w:space="0" w:color="auto"/>
      </w:divBdr>
      <w:divsChild>
        <w:div w:id="270629872">
          <w:marLeft w:val="0"/>
          <w:marRight w:val="0"/>
          <w:marTop w:val="0"/>
          <w:marBottom w:val="0"/>
          <w:divBdr>
            <w:top w:val="none" w:sz="0" w:space="0" w:color="auto"/>
            <w:left w:val="none" w:sz="0" w:space="0" w:color="auto"/>
            <w:bottom w:val="none" w:sz="0" w:space="0" w:color="auto"/>
            <w:right w:val="none" w:sz="0" w:space="0" w:color="auto"/>
          </w:divBdr>
        </w:div>
        <w:div w:id="1413548078">
          <w:marLeft w:val="0"/>
          <w:marRight w:val="0"/>
          <w:marTop w:val="0"/>
          <w:marBottom w:val="0"/>
          <w:divBdr>
            <w:top w:val="none" w:sz="0" w:space="0" w:color="auto"/>
            <w:left w:val="none" w:sz="0" w:space="0" w:color="auto"/>
            <w:bottom w:val="none" w:sz="0" w:space="0" w:color="auto"/>
            <w:right w:val="none" w:sz="0" w:space="0" w:color="auto"/>
          </w:divBdr>
        </w:div>
        <w:div w:id="1184439718">
          <w:marLeft w:val="0"/>
          <w:marRight w:val="0"/>
          <w:marTop w:val="0"/>
          <w:marBottom w:val="0"/>
          <w:divBdr>
            <w:top w:val="none" w:sz="0" w:space="0" w:color="auto"/>
            <w:left w:val="none" w:sz="0" w:space="0" w:color="auto"/>
            <w:bottom w:val="none" w:sz="0" w:space="0" w:color="auto"/>
            <w:right w:val="none" w:sz="0" w:space="0" w:color="auto"/>
          </w:divBdr>
        </w:div>
        <w:div w:id="2016373497">
          <w:marLeft w:val="0"/>
          <w:marRight w:val="0"/>
          <w:marTop w:val="0"/>
          <w:marBottom w:val="0"/>
          <w:divBdr>
            <w:top w:val="none" w:sz="0" w:space="0" w:color="auto"/>
            <w:left w:val="none" w:sz="0" w:space="0" w:color="auto"/>
            <w:bottom w:val="none" w:sz="0" w:space="0" w:color="auto"/>
            <w:right w:val="none" w:sz="0" w:space="0" w:color="auto"/>
          </w:divBdr>
        </w:div>
        <w:div w:id="121922135">
          <w:marLeft w:val="0"/>
          <w:marRight w:val="0"/>
          <w:marTop w:val="0"/>
          <w:marBottom w:val="0"/>
          <w:divBdr>
            <w:top w:val="none" w:sz="0" w:space="0" w:color="auto"/>
            <w:left w:val="none" w:sz="0" w:space="0" w:color="auto"/>
            <w:bottom w:val="none" w:sz="0" w:space="0" w:color="auto"/>
            <w:right w:val="none" w:sz="0" w:space="0" w:color="auto"/>
          </w:divBdr>
        </w:div>
        <w:div w:id="1294940245">
          <w:marLeft w:val="0"/>
          <w:marRight w:val="0"/>
          <w:marTop w:val="0"/>
          <w:marBottom w:val="0"/>
          <w:divBdr>
            <w:top w:val="none" w:sz="0" w:space="0" w:color="auto"/>
            <w:left w:val="none" w:sz="0" w:space="0" w:color="auto"/>
            <w:bottom w:val="none" w:sz="0" w:space="0" w:color="auto"/>
            <w:right w:val="none" w:sz="0" w:space="0" w:color="auto"/>
          </w:divBdr>
        </w:div>
        <w:div w:id="885919639">
          <w:marLeft w:val="0"/>
          <w:marRight w:val="0"/>
          <w:marTop w:val="0"/>
          <w:marBottom w:val="0"/>
          <w:divBdr>
            <w:top w:val="none" w:sz="0" w:space="0" w:color="auto"/>
            <w:left w:val="none" w:sz="0" w:space="0" w:color="auto"/>
            <w:bottom w:val="none" w:sz="0" w:space="0" w:color="auto"/>
            <w:right w:val="none" w:sz="0" w:space="0" w:color="auto"/>
          </w:divBdr>
        </w:div>
        <w:div w:id="599995177">
          <w:marLeft w:val="0"/>
          <w:marRight w:val="0"/>
          <w:marTop w:val="0"/>
          <w:marBottom w:val="0"/>
          <w:divBdr>
            <w:top w:val="none" w:sz="0" w:space="0" w:color="auto"/>
            <w:left w:val="none" w:sz="0" w:space="0" w:color="auto"/>
            <w:bottom w:val="none" w:sz="0" w:space="0" w:color="auto"/>
            <w:right w:val="none" w:sz="0" w:space="0" w:color="auto"/>
          </w:divBdr>
        </w:div>
        <w:div w:id="1312949480">
          <w:marLeft w:val="0"/>
          <w:marRight w:val="0"/>
          <w:marTop w:val="0"/>
          <w:marBottom w:val="0"/>
          <w:divBdr>
            <w:top w:val="none" w:sz="0" w:space="0" w:color="auto"/>
            <w:left w:val="none" w:sz="0" w:space="0" w:color="auto"/>
            <w:bottom w:val="none" w:sz="0" w:space="0" w:color="auto"/>
            <w:right w:val="none" w:sz="0" w:space="0" w:color="auto"/>
          </w:divBdr>
        </w:div>
        <w:div w:id="928587792">
          <w:marLeft w:val="0"/>
          <w:marRight w:val="0"/>
          <w:marTop w:val="0"/>
          <w:marBottom w:val="0"/>
          <w:divBdr>
            <w:top w:val="none" w:sz="0" w:space="0" w:color="auto"/>
            <w:left w:val="none" w:sz="0" w:space="0" w:color="auto"/>
            <w:bottom w:val="none" w:sz="0" w:space="0" w:color="auto"/>
            <w:right w:val="none" w:sz="0" w:space="0" w:color="auto"/>
          </w:divBdr>
        </w:div>
        <w:div w:id="514805619">
          <w:marLeft w:val="0"/>
          <w:marRight w:val="0"/>
          <w:marTop w:val="0"/>
          <w:marBottom w:val="0"/>
          <w:divBdr>
            <w:top w:val="none" w:sz="0" w:space="0" w:color="auto"/>
            <w:left w:val="none" w:sz="0" w:space="0" w:color="auto"/>
            <w:bottom w:val="none" w:sz="0" w:space="0" w:color="auto"/>
            <w:right w:val="none" w:sz="0" w:space="0" w:color="auto"/>
          </w:divBdr>
        </w:div>
        <w:div w:id="265503299">
          <w:marLeft w:val="0"/>
          <w:marRight w:val="0"/>
          <w:marTop w:val="0"/>
          <w:marBottom w:val="0"/>
          <w:divBdr>
            <w:top w:val="none" w:sz="0" w:space="0" w:color="auto"/>
            <w:left w:val="none" w:sz="0" w:space="0" w:color="auto"/>
            <w:bottom w:val="none" w:sz="0" w:space="0" w:color="auto"/>
            <w:right w:val="none" w:sz="0" w:space="0" w:color="auto"/>
          </w:divBdr>
        </w:div>
        <w:div w:id="761604241">
          <w:marLeft w:val="0"/>
          <w:marRight w:val="0"/>
          <w:marTop w:val="0"/>
          <w:marBottom w:val="0"/>
          <w:divBdr>
            <w:top w:val="none" w:sz="0" w:space="0" w:color="auto"/>
            <w:left w:val="none" w:sz="0" w:space="0" w:color="auto"/>
            <w:bottom w:val="none" w:sz="0" w:space="0" w:color="auto"/>
            <w:right w:val="none" w:sz="0" w:space="0" w:color="auto"/>
          </w:divBdr>
        </w:div>
        <w:div w:id="1567759444">
          <w:marLeft w:val="0"/>
          <w:marRight w:val="0"/>
          <w:marTop w:val="0"/>
          <w:marBottom w:val="0"/>
          <w:divBdr>
            <w:top w:val="none" w:sz="0" w:space="0" w:color="auto"/>
            <w:left w:val="none" w:sz="0" w:space="0" w:color="auto"/>
            <w:bottom w:val="none" w:sz="0" w:space="0" w:color="auto"/>
            <w:right w:val="none" w:sz="0" w:space="0" w:color="auto"/>
          </w:divBdr>
        </w:div>
        <w:div w:id="1531795639">
          <w:marLeft w:val="0"/>
          <w:marRight w:val="0"/>
          <w:marTop w:val="0"/>
          <w:marBottom w:val="0"/>
          <w:divBdr>
            <w:top w:val="none" w:sz="0" w:space="0" w:color="auto"/>
            <w:left w:val="none" w:sz="0" w:space="0" w:color="auto"/>
            <w:bottom w:val="none" w:sz="0" w:space="0" w:color="auto"/>
            <w:right w:val="none" w:sz="0" w:space="0" w:color="auto"/>
          </w:divBdr>
        </w:div>
        <w:div w:id="258828389">
          <w:marLeft w:val="0"/>
          <w:marRight w:val="0"/>
          <w:marTop w:val="0"/>
          <w:marBottom w:val="0"/>
          <w:divBdr>
            <w:top w:val="none" w:sz="0" w:space="0" w:color="auto"/>
            <w:left w:val="none" w:sz="0" w:space="0" w:color="auto"/>
            <w:bottom w:val="none" w:sz="0" w:space="0" w:color="auto"/>
            <w:right w:val="none" w:sz="0" w:space="0" w:color="auto"/>
          </w:divBdr>
        </w:div>
        <w:div w:id="385496666">
          <w:marLeft w:val="0"/>
          <w:marRight w:val="0"/>
          <w:marTop w:val="0"/>
          <w:marBottom w:val="0"/>
          <w:divBdr>
            <w:top w:val="none" w:sz="0" w:space="0" w:color="auto"/>
            <w:left w:val="none" w:sz="0" w:space="0" w:color="auto"/>
            <w:bottom w:val="none" w:sz="0" w:space="0" w:color="auto"/>
            <w:right w:val="none" w:sz="0" w:space="0" w:color="auto"/>
          </w:divBdr>
        </w:div>
        <w:div w:id="686323477">
          <w:marLeft w:val="0"/>
          <w:marRight w:val="0"/>
          <w:marTop w:val="0"/>
          <w:marBottom w:val="0"/>
          <w:divBdr>
            <w:top w:val="none" w:sz="0" w:space="0" w:color="auto"/>
            <w:left w:val="none" w:sz="0" w:space="0" w:color="auto"/>
            <w:bottom w:val="none" w:sz="0" w:space="0" w:color="auto"/>
            <w:right w:val="none" w:sz="0" w:space="0" w:color="auto"/>
          </w:divBdr>
        </w:div>
        <w:div w:id="491141623">
          <w:marLeft w:val="0"/>
          <w:marRight w:val="0"/>
          <w:marTop w:val="0"/>
          <w:marBottom w:val="0"/>
          <w:divBdr>
            <w:top w:val="none" w:sz="0" w:space="0" w:color="auto"/>
            <w:left w:val="none" w:sz="0" w:space="0" w:color="auto"/>
            <w:bottom w:val="none" w:sz="0" w:space="0" w:color="auto"/>
            <w:right w:val="none" w:sz="0" w:space="0" w:color="auto"/>
          </w:divBdr>
        </w:div>
        <w:div w:id="1615745576">
          <w:marLeft w:val="0"/>
          <w:marRight w:val="0"/>
          <w:marTop w:val="0"/>
          <w:marBottom w:val="0"/>
          <w:divBdr>
            <w:top w:val="none" w:sz="0" w:space="0" w:color="auto"/>
            <w:left w:val="none" w:sz="0" w:space="0" w:color="auto"/>
            <w:bottom w:val="none" w:sz="0" w:space="0" w:color="auto"/>
            <w:right w:val="none" w:sz="0" w:space="0" w:color="auto"/>
          </w:divBdr>
        </w:div>
        <w:div w:id="1961915081">
          <w:marLeft w:val="0"/>
          <w:marRight w:val="0"/>
          <w:marTop w:val="0"/>
          <w:marBottom w:val="0"/>
          <w:divBdr>
            <w:top w:val="none" w:sz="0" w:space="0" w:color="auto"/>
            <w:left w:val="none" w:sz="0" w:space="0" w:color="auto"/>
            <w:bottom w:val="none" w:sz="0" w:space="0" w:color="auto"/>
            <w:right w:val="none" w:sz="0" w:space="0" w:color="auto"/>
          </w:divBdr>
        </w:div>
        <w:div w:id="712383282">
          <w:marLeft w:val="0"/>
          <w:marRight w:val="0"/>
          <w:marTop w:val="0"/>
          <w:marBottom w:val="0"/>
          <w:divBdr>
            <w:top w:val="none" w:sz="0" w:space="0" w:color="auto"/>
            <w:left w:val="none" w:sz="0" w:space="0" w:color="auto"/>
            <w:bottom w:val="none" w:sz="0" w:space="0" w:color="auto"/>
            <w:right w:val="none" w:sz="0" w:space="0" w:color="auto"/>
          </w:divBdr>
        </w:div>
        <w:div w:id="1553728808">
          <w:marLeft w:val="0"/>
          <w:marRight w:val="0"/>
          <w:marTop w:val="0"/>
          <w:marBottom w:val="0"/>
          <w:divBdr>
            <w:top w:val="none" w:sz="0" w:space="0" w:color="auto"/>
            <w:left w:val="none" w:sz="0" w:space="0" w:color="auto"/>
            <w:bottom w:val="none" w:sz="0" w:space="0" w:color="auto"/>
            <w:right w:val="none" w:sz="0" w:space="0" w:color="auto"/>
          </w:divBdr>
        </w:div>
        <w:div w:id="1688826513">
          <w:marLeft w:val="0"/>
          <w:marRight w:val="0"/>
          <w:marTop w:val="0"/>
          <w:marBottom w:val="0"/>
          <w:divBdr>
            <w:top w:val="none" w:sz="0" w:space="0" w:color="auto"/>
            <w:left w:val="none" w:sz="0" w:space="0" w:color="auto"/>
            <w:bottom w:val="none" w:sz="0" w:space="0" w:color="auto"/>
            <w:right w:val="none" w:sz="0" w:space="0" w:color="auto"/>
          </w:divBdr>
        </w:div>
        <w:div w:id="1346976632">
          <w:marLeft w:val="0"/>
          <w:marRight w:val="0"/>
          <w:marTop w:val="0"/>
          <w:marBottom w:val="0"/>
          <w:divBdr>
            <w:top w:val="none" w:sz="0" w:space="0" w:color="auto"/>
            <w:left w:val="none" w:sz="0" w:space="0" w:color="auto"/>
            <w:bottom w:val="none" w:sz="0" w:space="0" w:color="auto"/>
            <w:right w:val="none" w:sz="0" w:space="0" w:color="auto"/>
          </w:divBdr>
        </w:div>
        <w:div w:id="2119328517">
          <w:marLeft w:val="0"/>
          <w:marRight w:val="0"/>
          <w:marTop w:val="0"/>
          <w:marBottom w:val="0"/>
          <w:divBdr>
            <w:top w:val="none" w:sz="0" w:space="0" w:color="auto"/>
            <w:left w:val="none" w:sz="0" w:space="0" w:color="auto"/>
            <w:bottom w:val="none" w:sz="0" w:space="0" w:color="auto"/>
            <w:right w:val="none" w:sz="0" w:space="0" w:color="auto"/>
          </w:divBdr>
        </w:div>
        <w:div w:id="1342275268">
          <w:marLeft w:val="0"/>
          <w:marRight w:val="0"/>
          <w:marTop w:val="0"/>
          <w:marBottom w:val="0"/>
          <w:divBdr>
            <w:top w:val="none" w:sz="0" w:space="0" w:color="auto"/>
            <w:left w:val="none" w:sz="0" w:space="0" w:color="auto"/>
            <w:bottom w:val="none" w:sz="0" w:space="0" w:color="auto"/>
            <w:right w:val="none" w:sz="0" w:space="0" w:color="auto"/>
          </w:divBdr>
        </w:div>
        <w:div w:id="1156611758">
          <w:marLeft w:val="0"/>
          <w:marRight w:val="0"/>
          <w:marTop w:val="0"/>
          <w:marBottom w:val="0"/>
          <w:divBdr>
            <w:top w:val="none" w:sz="0" w:space="0" w:color="auto"/>
            <w:left w:val="none" w:sz="0" w:space="0" w:color="auto"/>
            <w:bottom w:val="none" w:sz="0" w:space="0" w:color="auto"/>
            <w:right w:val="none" w:sz="0" w:space="0" w:color="auto"/>
          </w:divBdr>
        </w:div>
        <w:div w:id="192689486">
          <w:marLeft w:val="0"/>
          <w:marRight w:val="0"/>
          <w:marTop w:val="0"/>
          <w:marBottom w:val="0"/>
          <w:divBdr>
            <w:top w:val="none" w:sz="0" w:space="0" w:color="auto"/>
            <w:left w:val="none" w:sz="0" w:space="0" w:color="auto"/>
            <w:bottom w:val="none" w:sz="0" w:space="0" w:color="auto"/>
            <w:right w:val="none" w:sz="0" w:space="0" w:color="auto"/>
          </w:divBdr>
        </w:div>
        <w:div w:id="1980106257">
          <w:marLeft w:val="0"/>
          <w:marRight w:val="0"/>
          <w:marTop w:val="0"/>
          <w:marBottom w:val="0"/>
          <w:divBdr>
            <w:top w:val="none" w:sz="0" w:space="0" w:color="auto"/>
            <w:left w:val="none" w:sz="0" w:space="0" w:color="auto"/>
            <w:bottom w:val="none" w:sz="0" w:space="0" w:color="auto"/>
            <w:right w:val="none" w:sz="0" w:space="0" w:color="auto"/>
          </w:divBdr>
        </w:div>
        <w:div w:id="1310013150">
          <w:marLeft w:val="0"/>
          <w:marRight w:val="0"/>
          <w:marTop w:val="0"/>
          <w:marBottom w:val="0"/>
          <w:divBdr>
            <w:top w:val="none" w:sz="0" w:space="0" w:color="auto"/>
            <w:left w:val="none" w:sz="0" w:space="0" w:color="auto"/>
            <w:bottom w:val="none" w:sz="0" w:space="0" w:color="auto"/>
            <w:right w:val="none" w:sz="0" w:space="0" w:color="auto"/>
          </w:divBdr>
        </w:div>
        <w:div w:id="128791303">
          <w:marLeft w:val="0"/>
          <w:marRight w:val="0"/>
          <w:marTop w:val="0"/>
          <w:marBottom w:val="0"/>
          <w:divBdr>
            <w:top w:val="none" w:sz="0" w:space="0" w:color="auto"/>
            <w:left w:val="none" w:sz="0" w:space="0" w:color="auto"/>
            <w:bottom w:val="none" w:sz="0" w:space="0" w:color="auto"/>
            <w:right w:val="none" w:sz="0" w:space="0" w:color="auto"/>
          </w:divBdr>
        </w:div>
        <w:div w:id="765809450">
          <w:marLeft w:val="0"/>
          <w:marRight w:val="0"/>
          <w:marTop w:val="0"/>
          <w:marBottom w:val="0"/>
          <w:divBdr>
            <w:top w:val="none" w:sz="0" w:space="0" w:color="auto"/>
            <w:left w:val="none" w:sz="0" w:space="0" w:color="auto"/>
            <w:bottom w:val="none" w:sz="0" w:space="0" w:color="auto"/>
            <w:right w:val="none" w:sz="0" w:space="0" w:color="auto"/>
          </w:divBdr>
        </w:div>
        <w:div w:id="292365957">
          <w:marLeft w:val="0"/>
          <w:marRight w:val="0"/>
          <w:marTop w:val="0"/>
          <w:marBottom w:val="0"/>
          <w:divBdr>
            <w:top w:val="none" w:sz="0" w:space="0" w:color="auto"/>
            <w:left w:val="none" w:sz="0" w:space="0" w:color="auto"/>
            <w:bottom w:val="none" w:sz="0" w:space="0" w:color="auto"/>
            <w:right w:val="none" w:sz="0" w:space="0" w:color="auto"/>
          </w:divBdr>
        </w:div>
        <w:div w:id="1153447175">
          <w:marLeft w:val="0"/>
          <w:marRight w:val="0"/>
          <w:marTop w:val="0"/>
          <w:marBottom w:val="0"/>
          <w:divBdr>
            <w:top w:val="none" w:sz="0" w:space="0" w:color="auto"/>
            <w:left w:val="none" w:sz="0" w:space="0" w:color="auto"/>
            <w:bottom w:val="none" w:sz="0" w:space="0" w:color="auto"/>
            <w:right w:val="none" w:sz="0" w:space="0" w:color="auto"/>
          </w:divBdr>
        </w:div>
        <w:div w:id="1437285850">
          <w:marLeft w:val="0"/>
          <w:marRight w:val="0"/>
          <w:marTop w:val="0"/>
          <w:marBottom w:val="0"/>
          <w:divBdr>
            <w:top w:val="none" w:sz="0" w:space="0" w:color="auto"/>
            <w:left w:val="none" w:sz="0" w:space="0" w:color="auto"/>
            <w:bottom w:val="none" w:sz="0" w:space="0" w:color="auto"/>
            <w:right w:val="none" w:sz="0" w:space="0" w:color="auto"/>
          </w:divBdr>
        </w:div>
        <w:div w:id="1573469259">
          <w:marLeft w:val="0"/>
          <w:marRight w:val="0"/>
          <w:marTop w:val="0"/>
          <w:marBottom w:val="0"/>
          <w:divBdr>
            <w:top w:val="none" w:sz="0" w:space="0" w:color="auto"/>
            <w:left w:val="none" w:sz="0" w:space="0" w:color="auto"/>
            <w:bottom w:val="none" w:sz="0" w:space="0" w:color="auto"/>
            <w:right w:val="none" w:sz="0" w:space="0" w:color="auto"/>
          </w:divBdr>
        </w:div>
        <w:div w:id="600842317">
          <w:marLeft w:val="0"/>
          <w:marRight w:val="0"/>
          <w:marTop w:val="0"/>
          <w:marBottom w:val="0"/>
          <w:divBdr>
            <w:top w:val="none" w:sz="0" w:space="0" w:color="auto"/>
            <w:left w:val="none" w:sz="0" w:space="0" w:color="auto"/>
            <w:bottom w:val="none" w:sz="0" w:space="0" w:color="auto"/>
            <w:right w:val="none" w:sz="0" w:space="0" w:color="auto"/>
          </w:divBdr>
        </w:div>
        <w:div w:id="884946604">
          <w:marLeft w:val="0"/>
          <w:marRight w:val="0"/>
          <w:marTop w:val="0"/>
          <w:marBottom w:val="0"/>
          <w:divBdr>
            <w:top w:val="none" w:sz="0" w:space="0" w:color="auto"/>
            <w:left w:val="none" w:sz="0" w:space="0" w:color="auto"/>
            <w:bottom w:val="none" w:sz="0" w:space="0" w:color="auto"/>
            <w:right w:val="none" w:sz="0" w:space="0" w:color="auto"/>
          </w:divBdr>
        </w:div>
        <w:div w:id="2136440368">
          <w:marLeft w:val="0"/>
          <w:marRight w:val="0"/>
          <w:marTop w:val="0"/>
          <w:marBottom w:val="0"/>
          <w:divBdr>
            <w:top w:val="none" w:sz="0" w:space="0" w:color="auto"/>
            <w:left w:val="none" w:sz="0" w:space="0" w:color="auto"/>
            <w:bottom w:val="none" w:sz="0" w:space="0" w:color="auto"/>
            <w:right w:val="none" w:sz="0" w:space="0" w:color="auto"/>
          </w:divBdr>
        </w:div>
        <w:div w:id="605694374">
          <w:marLeft w:val="0"/>
          <w:marRight w:val="0"/>
          <w:marTop w:val="0"/>
          <w:marBottom w:val="0"/>
          <w:divBdr>
            <w:top w:val="none" w:sz="0" w:space="0" w:color="auto"/>
            <w:left w:val="none" w:sz="0" w:space="0" w:color="auto"/>
            <w:bottom w:val="none" w:sz="0" w:space="0" w:color="auto"/>
            <w:right w:val="none" w:sz="0" w:space="0" w:color="auto"/>
          </w:divBdr>
        </w:div>
        <w:div w:id="1390418700">
          <w:marLeft w:val="0"/>
          <w:marRight w:val="0"/>
          <w:marTop w:val="0"/>
          <w:marBottom w:val="0"/>
          <w:divBdr>
            <w:top w:val="none" w:sz="0" w:space="0" w:color="auto"/>
            <w:left w:val="none" w:sz="0" w:space="0" w:color="auto"/>
            <w:bottom w:val="none" w:sz="0" w:space="0" w:color="auto"/>
            <w:right w:val="none" w:sz="0" w:space="0" w:color="auto"/>
          </w:divBdr>
        </w:div>
        <w:div w:id="912859537">
          <w:marLeft w:val="0"/>
          <w:marRight w:val="0"/>
          <w:marTop w:val="0"/>
          <w:marBottom w:val="0"/>
          <w:divBdr>
            <w:top w:val="none" w:sz="0" w:space="0" w:color="auto"/>
            <w:left w:val="none" w:sz="0" w:space="0" w:color="auto"/>
            <w:bottom w:val="none" w:sz="0" w:space="0" w:color="auto"/>
            <w:right w:val="none" w:sz="0" w:space="0" w:color="auto"/>
          </w:divBdr>
        </w:div>
        <w:div w:id="1382443376">
          <w:marLeft w:val="0"/>
          <w:marRight w:val="0"/>
          <w:marTop w:val="0"/>
          <w:marBottom w:val="0"/>
          <w:divBdr>
            <w:top w:val="none" w:sz="0" w:space="0" w:color="auto"/>
            <w:left w:val="none" w:sz="0" w:space="0" w:color="auto"/>
            <w:bottom w:val="none" w:sz="0" w:space="0" w:color="auto"/>
            <w:right w:val="none" w:sz="0" w:space="0" w:color="auto"/>
          </w:divBdr>
        </w:div>
        <w:div w:id="180093318">
          <w:marLeft w:val="0"/>
          <w:marRight w:val="0"/>
          <w:marTop w:val="0"/>
          <w:marBottom w:val="0"/>
          <w:divBdr>
            <w:top w:val="none" w:sz="0" w:space="0" w:color="auto"/>
            <w:left w:val="none" w:sz="0" w:space="0" w:color="auto"/>
            <w:bottom w:val="none" w:sz="0" w:space="0" w:color="auto"/>
            <w:right w:val="none" w:sz="0" w:space="0" w:color="auto"/>
          </w:divBdr>
        </w:div>
        <w:div w:id="1985545836">
          <w:marLeft w:val="0"/>
          <w:marRight w:val="0"/>
          <w:marTop w:val="0"/>
          <w:marBottom w:val="0"/>
          <w:divBdr>
            <w:top w:val="none" w:sz="0" w:space="0" w:color="auto"/>
            <w:left w:val="none" w:sz="0" w:space="0" w:color="auto"/>
            <w:bottom w:val="none" w:sz="0" w:space="0" w:color="auto"/>
            <w:right w:val="none" w:sz="0" w:space="0" w:color="auto"/>
          </w:divBdr>
        </w:div>
      </w:divsChild>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271487">
      <w:bodyDiv w:val="1"/>
      <w:marLeft w:val="0"/>
      <w:marRight w:val="0"/>
      <w:marTop w:val="0"/>
      <w:marBottom w:val="0"/>
      <w:divBdr>
        <w:top w:val="none" w:sz="0" w:space="0" w:color="auto"/>
        <w:left w:val="none" w:sz="0" w:space="0" w:color="auto"/>
        <w:bottom w:val="none" w:sz="0" w:space="0" w:color="auto"/>
        <w:right w:val="none" w:sz="0" w:space="0" w:color="auto"/>
      </w:divBdr>
      <w:divsChild>
        <w:div w:id="527762398">
          <w:marLeft w:val="0"/>
          <w:marRight w:val="0"/>
          <w:marTop w:val="0"/>
          <w:marBottom w:val="0"/>
          <w:divBdr>
            <w:top w:val="none" w:sz="0" w:space="0" w:color="auto"/>
            <w:left w:val="none" w:sz="0" w:space="0" w:color="auto"/>
            <w:bottom w:val="none" w:sz="0" w:space="0" w:color="auto"/>
            <w:right w:val="none" w:sz="0" w:space="0" w:color="auto"/>
          </w:divBdr>
          <w:divsChild>
            <w:div w:id="553272799">
              <w:marLeft w:val="0"/>
              <w:marRight w:val="0"/>
              <w:marTop w:val="0"/>
              <w:marBottom w:val="0"/>
              <w:divBdr>
                <w:top w:val="none" w:sz="0" w:space="0" w:color="auto"/>
                <w:left w:val="none" w:sz="0" w:space="0" w:color="auto"/>
                <w:bottom w:val="none" w:sz="0" w:space="0" w:color="auto"/>
                <w:right w:val="none" w:sz="0" w:space="0" w:color="auto"/>
              </w:divBdr>
              <w:divsChild>
                <w:div w:id="1913464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143571">
      <w:bodyDiv w:val="1"/>
      <w:marLeft w:val="0"/>
      <w:marRight w:val="0"/>
      <w:marTop w:val="0"/>
      <w:marBottom w:val="0"/>
      <w:divBdr>
        <w:top w:val="none" w:sz="0" w:space="0" w:color="auto"/>
        <w:left w:val="none" w:sz="0" w:space="0" w:color="auto"/>
        <w:bottom w:val="none" w:sz="0" w:space="0" w:color="auto"/>
        <w:right w:val="none" w:sz="0" w:space="0" w:color="auto"/>
      </w:divBdr>
      <w:divsChild>
        <w:div w:id="837382178">
          <w:marLeft w:val="0"/>
          <w:marRight w:val="0"/>
          <w:marTop w:val="0"/>
          <w:marBottom w:val="0"/>
          <w:divBdr>
            <w:top w:val="none" w:sz="0" w:space="0" w:color="auto"/>
            <w:left w:val="none" w:sz="0" w:space="0" w:color="auto"/>
            <w:bottom w:val="none" w:sz="0" w:space="0" w:color="auto"/>
            <w:right w:val="none" w:sz="0" w:space="0" w:color="auto"/>
          </w:divBdr>
          <w:divsChild>
            <w:div w:id="1336762983">
              <w:marLeft w:val="0"/>
              <w:marRight w:val="0"/>
              <w:marTop w:val="0"/>
              <w:marBottom w:val="0"/>
              <w:divBdr>
                <w:top w:val="none" w:sz="0" w:space="0" w:color="auto"/>
                <w:left w:val="none" w:sz="0" w:space="0" w:color="auto"/>
                <w:bottom w:val="none" w:sz="0" w:space="0" w:color="auto"/>
                <w:right w:val="none" w:sz="0" w:space="0" w:color="auto"/>
              </w:divBdr>
              <w:divsChild>
                <w:div w:id="1702971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667555">
      <w:bodyDiv w:val="1"/>
      <w:marLeft w:val="0"/>
      <w:marRight w:val="0"/>
      <w:marTop w:val="0"/>
      <w:marBottom w:val="0"/>
      <w:divBdr>
        <w:top w:val="none" w:sz="0" w:space="0" w:color="auto"/>
        <w:left w:val="none" w:sz="0" w:space="0" w:color="auto"/>
        <w:bottom w:val="none" w:sz="0" w:space="0" w:color="auto"/>
        <w:right w:val="none" w:sz="0" w:space="0" w:color="auto"/>
      </w:divBdr>
      <w:divsChild>
        <w:div w:id="85200862">
          <w:marLeft w:val="0"/>
          <w:marRight w:val="0"/>
          <w:marTop w:val="0"/>
          <w:marBottom w:val="0"/>
          <w:divBdr>
            <w:top w:val="none" w:sz="0" w:space="0" w:color="auto"/>
            <w:left w:val="none" w:sz="0" w:space="0" w:color="auto"/>
            <w:bottom w:val="none" w:sz="0" w:space="0" w:color="auto"/>
            <w:right w:val="none" w:sz="0" w:space="0" w:color="auto"/>
          </w:divBdr>
        </w:div>
        <w:div w:id="1461267175">
          <w:marLeft w:val="0"/>
          <w:marRight w:val="0"/>
          <w:marTop w:val="0"/>
          <w:marBottom w:val="0"/>
          <w:divBdr>
            <w:top w:val="none" w:sz="0" w:space="0" w:color="auto"/>
            <w:left w:val="none" w:sz="0" w:space="0" w:color="auto"/>
            <w:bottom w:val="none" w:sz="0" w:space="0" w:color="auto"/>
            <w:right w:val="none" w:sz="0" w:space="0" w:color="auto"/>
          </w:divBdr>
        </w:div>
      </w:divsChild>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1019824">
      <w:bodyDiv w:val="1"/>
      <w:marLeft w:val="0"/>
      <w:marRight w:val="0"/>
      <w:marTop w:val="0"/>
      <w:marBottom w:val="0"/>
      <w:divBdr>
        <w:top w:val="none" w:sz="0" w:space="0" w:color="auto"/>
        <w:left w:val="none" w:sz="0" w:space="0" w:color="auto"/>
        <w:bottom w:val="none" w:sz="0" w:space="0" w:color="auto"/>
        <w:right w:val="none" w:sz="0" w:space="0" w:color="auto"/>
      </w:divBdr>
    </w:div>
    <w:div w:id="2127459597">
      <w:bodyDiv w:val="1"/>
      <w:marLeft w:val="0"/>
      <w:marRight w:val="0"/>
      <w:marTop w:val="0"/>
      <w:marBottom w:val="0"/>
      <w:divBdr>
        <w:top w:val="none" w:sz="0" w:space="0" w:color="auto"/>
        <w:left w:val="none" w:sz="0" w:space="0" w:color="auto"/>
        <w:bottom w:val="none" w:sz="0" w:space="0" w:color="auto"/>
        <w:right w:val="none" w:sz="0" w:space="0" w:color="auto"/>
      </w:divBdr>
      <w:divsChild>
        <w:div w:id="1186822726">
          <w:marLeft w:val="0"/>
          <w:marRight w:val="0"/>
          <w:marTop w:val="15"/>
          <w:marBottom w:val="0"/>
          <w:divBdr>
            <w:top w:val="none" w:sz="0" w:space="0" w:color="auto"/>
            <w:left w:val="none" w:sz="0" w:space="0" w:color="auto"/>
            <w:bottom w:val="none" w:sz="0" w:space="0" w:color="auto"/>
            <w:right w:val="none" w:sz="0" w:space="0" w:color="auto"/>
          </w:divBdr>
        </w:div>
        <w:div w:id="1568957859">
          <w:marLeft w:val="0"/>
          <w:marRight w:val="0"/>
          <w:marTop w:val="15"/>
          <w:marBottom w:val="0"/>
          <w:divBdr>
            <w:top w:val="none" w:sz="0" w:space="0" w:color="auto"/>
            <w:left w:val="none" w:sz="0" w:space="0" w:color="auto"/>
            <w:bottom w:val="none" w:sz="0" w:space="0" w:color="auto"/>
            <w:right w:val="none" w:sz="0" w:space="0" w:color="auto"/>
          </w:divBdr>
          <w:divsChild>
            <w:div w:id="527376962">
              <w:marLeft w:val="0"/>
              <w:marRight w:val="0"/>
              <w:marTop w:val="0"/>
              <w:marBottom w:val="0"/>
              <w:divBdr>
                <w:top w:val="none" w:sz="0" w:space="0" w:color="auto"/>
                <w:left w:val="none" w:sz="0" w:space="0" w:color="auto"/>
                <w:bottom w:val="none" w:sz="0" w:space="0" w:color="auto"/>
                <w:right w:val="none" w:sz="0" w:space="0" w:color="auto"/>
              </w:divBdr>
              <w:divsChild>
                <w:div w:id="242569425">
                  <w:marLeft w:val="0"/>
                  <w:marRight w:val="0"/>
                  <w:marTop w:val="0"/>
                  <w:marBottom w:val="0"/>
                  <w:divBdr>
                    <w:top w:val="none" w:sz="0" w:space="0" w:color="auto"/>
                    <w:left w:val="none" w:sz="0" w:space="0" w:color="auto"/>
                    <w:bottom w:val="none" w:sz="0" w:space="0" w:color="auto"/>
                    <w:right w:val="none" w:sz="0" w:space="0" w:color="auto"/>
                  </w:divBdr>
                </w:div>
                <w:div w:id="249702606">
                  <w:marLeft w:val="0"/>
                  <w:marRight w:val="0"/>
                  <w:marTop w:val="0"/>
                  <w:marBottom w:val="0"/>
                  <w:divBdr>
                    <w:top w:val="none" w:sz="0" w:space="0" w:color="auto"/>
                    <w:left w:val="none" w:sz="0" w:space="0" w:color="auto"/>
                    <w:bottom w:val="none" w:sz="0" w:space="0" w:color="auto"/>
                    <w:right w:val="none" w:sz="0" w:space="0" w:color="auto"/>
                  </w:divBdr>
                </w:div>
                <w:div w:id="289827288">
                  <w:marLeft w:val="0"/>
                  <w:marRight w:val="0"/>
                  <w:marTop w:val="0"/>
                  <w:marBottom w:val="0"/>
                  <w:divBdr>
                    <w:top w:val="none" w:sz="0" w:space="0" w:color="auto"/>
                    <w:left w:val="none" w:sz="0" w:space="0" w:color="auto"/>
                    <w:bottom w:val="none" w:sz="0" w:space="0" w:color="auto"/>
                    <w:right w:val="none" w:sz="0" w:space="0" w:color="auto"/>
                  </w:divBdr>
                </w:div>
                <w:div w:id="312414800">
                  <w:marLeft w:val="0"/>
                  <w:marRight w:val="0"/>
                  <w:marTop w:val="0"/>
                  <w:marBottom w:val="0"/>
                  <w:divBdr>
                    <w:top w:val="none" w:sz="0" w:space="0" w:color="auto"/>
                    <w:left w:val="none" w:sz="0" w:space="0" w:color="auto"/>
                    <w:bottom w:val="none" w:sz="0" w:space="0" w:color="auto"/>
                    <w:right w:val="none" w:sz="0" w:space="0" w:color="auto"/>
                  </w:divBdr>
                </w:div>
                <w:div w:id="451873501">
                  <w:marLeft w:val="0"/>
                  <w:marRight w:val="0"/>
                  <w:marTop w:val="0"/>
                  <w:marBottom w:val="0"/>
                  <w:divBdr>
                    <w:top w:val="none" w:sz="0" w:space="0" w:color="auto"/>
                    <w:left w:val="none" w:sz="0" w:space="0" w:color="auto"/>
                    <w:bottom w:val="none" w:sz="0" w:space="0" w:color="auto"/>
                    <w:right w:val="none" w:sz="0" w:space="0" w:color="auto"/>
                  </w:divBdr>
                </w:div>
                <w:div w:id="465008525">
                  <w:marLeft w:val="0"/>
                  <w:marRight w:val="0"/>
                  <w:marTop w:val="0"/>
                  <w:marBottom w:val="0"/>
                  <w:divBdr>
                    <w:top w:val="none" w:sz="0" w:space="0" w:color="auto"/>
                    <w:left w:val="none" w:sz="0" w:space="0" w:color="auto"/>
                    <w:bottom w:val="none" w:sz="0" w:space="0" w:color="auto"/>
                    <w:right w:val="none" w:sz="0" w:space="0" w:color="auto"/>
                  </w:divBdr>
                </w:div>
                <w:div w:id="514150391">
                  <w:marLeft w:val="0"/>
                  <w:marRight w:val="0"/>
                  <w:marTop w:val="0"/>
                  <w:marBottom w:val="0"/>
                  <w:divBdr>
                    <w:top w:val="none" w:sz="0" w:space="0" w:color="auto"/>
                    <w:left w:val="none" w:sz="0" w:space="0" w:color="auto"/>
                    <w:bottom w:val="none" w:sz="0" w:space="0" w:color="auto"/>
                    <w:right w:val="none" w:sz="0" w:space="0" w:color="auto"/>
                  </w:divBdr>
                </w:div>
                <w:div w:id="731006182">
                  <w:marLeft w:val="0"/>
                  <w:marRight w:val="0"/>
                  <w:marTop w:val="0"/>
                  <w:marBottom w:val="0"/>
                  <w:divBdr>
                    <w:top w:val="none" w:sz="0" w:space="0" w:color="auto"/>
                    <w:left w:val="none" w:sz="0" w:space="0" w:color="auto"/>
                    <w:bottom w:val="none" w:sz="0" w:space="0" w:color="auto"/>
                    <w:right w:val="none" w:sz="0" w:space="0" w:color="auto"/>
                  </w:divBdr>
                </w:div>
                <w:div w:id="874926620">
                  <w:marLeft w:val="0"/>
                  <w:marRight w:val="0"/>
                  <w:marTop w:val="0"/>
                  <w:marBottom w:val="0"/>
                  <w:divBdr>
                    <w:top w:val="none" w:sz="0" w:space="0" w:color="auto"/>
                    <w:left w:val="none" w:sz="0" w:space="0" w:color="auto"/>
                    <w:bottom w:val="none" w:sz="0" w:space="0" w:color="auto"/>
                    <w:right w:val="none" w:sz="0" w:space="0" w:color="auto"/>
                  </w:divBdr>
                </w:div>
                <w:div w:id="911162855">
                  <w:marLeft w:val="0"/>
                  <w:marRight w:val="0"/>
                  <w:marTop w:val="0"/>
                  <w:marBottom w:val="0"/>
                  <w:divBdr>
                    <w:top w:val="none" w:sz="0" w:space="0" w:color="auto"/>
                    <w:left w:val="none" w:sz="0" w:space="0" w:color="auto"/>
                    <w:bottom w:val="none" w:sz="0" w:space="0" w:color="auto"/>
                    <w:right w:val="none" w:sz="0" w:space="0" w:color="auto"/>
                  </w:divBdr>
                </w:div>
                <w:div w:id="921255312">
                  <w:marLeft w:val="0"/>
                  <w:marRight w:val="0"/>
                  <w:marTop w:val="0"/>
                  <w:marBottom w:val="0"/>
                  <w:divBdr>
                    <w:top w:val="none" w:sz="0" w:space="0" w:color="auto"/>
                    <w:left w:val="none" w:sz="0" w:space="0" w:color="auto"/>
                    <w:bottom w:val="none" w:sz="0" w:space="0" w:color="auto"/>
                    <w:right w:val="none" w:sz="0" w:space="0" w:color="auto"/>
                  </w:divBdr>
                </w:div>
                <w:div w:id="981035271">
                  <w:marLeft w:val="0"/>
                  <w:marRight w:val="0"/>
                  <w:marTop w:val="0"/>
                  <w:marBottom w:val="0"/>
                  <w:divBdr>
                    <w:top w:val="none" w:sz="0" w:space="0" w:color="auto"/>
                    <w:left w:val="none" w:sz="0" w:space="0" w:color="auto"/>
                    <w:bottom w:val="none" w:sz="0" w:space="0" w:color="auto"/>
                    <w:right w:val="none" w:sz="0" w:space="0" w:color="auto"/>
                  </w:divBdr>
                </w:div>
                <w:div w:id="989940213">
                  <w:marLeft w:val="0"/>
                  <w:marRight w:val="0"/>
                  <w:marTop w:val="0"/>
                  <w:marBottom w:val="0"/>
                  <w:divBdr>
                    <w:top w:val="none" w:sz="0" w:space="0" w:color="auto"/>
                    <w:left w:val="none" w:sz="0" w:space="0" w:color="auto"/>
                    <w:bottom w:val="none" w:sz="0" w:space="0" w:color="auto"/>
                    <w:right w:val="none" w:sz="0" w:space="0" w:color="auto"/>
                  </w:divBdr>
                </w:div>
                <w:div w:id="1078790454">
                  <w:marLeft w:val="0"/>
                  <w:marRight w:val="0"/>
                  <w:marTop w:val="0"/>
                  <w:marBottom w:val="0"/>
                  <w:divBdr>
                    <w:top w:val="none" w:sz="0" w:space="0" w:color="auto"/>
                    <w:left w:val="none" w:sz="0" w:space="0" w:color="auto"/>
                    <w:bottom w:val="none" w:sz="0" w:space="0" w:color="auto"/>
                    <w:right w:val="none" w:sz="0" w:space="0" w:color="auto"/>
                  </w:divBdr>
                </w:div>
                <w:div w:id="1083796678">
                  <w:marLeft w:val="0"/>
                  <w:marRight w:val="0"/>
                  <w:marTop w:val="0"/>
                  <w:marBottom w:val="0"/>
                  <w:divBdr>
                    <w:top w:val="none" w:sz="0" w:space="0" w:color="auto"/>
                    <w:left w:val="none" w:sz="0" w:space="0" w:color="auto"/>
                    <w:bottom w:val="none" w:sz="0" w:space="0" w:color="auto"/>
                    <w:right w:val="none" w:sz="0" w:space="0" w:color="auto"/>
                  </w:divBdr>
                </w:div>
                <w:div w:id="1163737195">
                  <w:marLeft w:val="0"/>
                  <w:marRight w:val="0"/>
                  <w:marTop w:val="0"/>
                  <w:marBottom w:val="0"/>
                  <w:divBdr>
                    <w:top w:val="none" w:sz="0" w:space="0" w:color="auto"/>
                    <w:left w:val="none" w:sz="0" w:space="0" w:color="auto"/>
                    <w:bottom w:val="none" w:sz="0" w:space="0" w:color="auto"/>
                    <w:right w:val="none" w:sz="0" w:space="0" w:color="auto"/>
                  </w:divBdr>
                </w:div>
                <w:div w:id="1196230692">
                  <w:marLeft w:val="0"/>
                  <w:marRight w:val="0"/>
                  <w:marTop w:val="0"/>
                  <w:marBottom w:val="0"/>
                  <w:divBdr>
                    <w:top w:val="none" w:sz="0" w:space="0" w:color="auto"/>
                    <w:left w:val="none" w:sz="0" w:space="0" w:color="auto"/>
                    <w:bottom w:val="none" w:sz="0" w:space="0" w:color="auto"/>
                    <w:right w:val="none" w:sz="0" w:space="0" w:color="auto"/>
                  </w:divBdr>
                </w:div>
                <w:div w:id="1217007438">
                  <w:marLeft w:val="0"/>
                  <w:marRight w:val="0"/>
                  <w:marTop w:val="0"/>
                  <w:marBottom w:val="0"/>
                  <w:divBdr>
                    <w:top w:val="none" w:sz="0" w:space="0" w:color="auto"/>
                    <w:left w:val="none" w:sz="0" w:space="0" w:color="auto"/>
                    <w:bottom w:val="none" w:sz="0" w:space="0" w:color="auto"/>
                    <w:right w:val="none" w:sz="0" w:space="0" w:color="auto"/>
                  </w:divBdr>
                </w:div>
                <w:div w:id="1314408153">
                  <w:marLeft w:val="0"/>
                  <w:marRight w:val="0"/>
                  <w:marTop w:val="0"/>
                  <w:marBottom w:val="0"/>
                  <w:divBdr>
                    <w:top w:val="none" w:sz="0" w:space="0" w:color="auto"/>
                    <w:left w:val="none" w:sz="0" w:space="0" w:color="auto"/>
                    <w:bottom w:val="none" w:sz="0" w:space="0" w:color="auto"/>
                    <w:right w:val="none" w:sz="0" w:space="0" w:color="auto"/>
                  </w:divBdr>
                </w:div>
                <w:div w:id="1344088493">
                  <w:marLeft w:val="0"/>
                  <w:marRight w:val="0"/>
                  <w:marTop w:val="0"/>
                  <w:marBottom w:val="0"/>
                  <w:divBdr>
                    <w:top w:val="none" w:sz="0" w:space="0" w:color="auto"/>
                    <w:left w:val="none" w:sz="0" w:space="0" w:color="auto"/>
                    <w:bottom w:val="none" w:sz="0" w:space="0" w:color="auto"/>
                    <w:right w:val="none" w:sz="0" w:space="0" w:color="auto"/>
                  </w:divBdr>
                </w:div>
                <w:div w:id="1403408419">
                  <w:marLeft w:val="0"/>
                  <w:marRight w:val="0"/>
                  <w:marTop w:val="0"/>
                  <w:marBottom w:val="0"/>
                  <w:divBdr>
                    <w:top w:val="none" w:sz="0" w:space="0" w:color="auto"/>
                    <w:left w:val="none" w:sz="0" w:space="0" w:color="auto"/>
                    <w:bottom w:val="none" w:sz="0" w:space="0" w:color="auto"/>
                    <w:right w:val="none" w:sz="0" w:space="0" w:color="auto"/>
                  </w:divBdr>
                </w:div>
                <w:div w:id="1439983150">
                  <w:marLeft w:val="0"/>
                  <w:marRight w:val="0"/>
                  <w:marTop w:val="0"/>
                  <w:marBottom w:val="0"/>
                  <w:divBdr>
                    <w:top w:val="none" w:sz="0" w:space="0" w:color="auto"/>
                    <w:left w:val="none" w:sz="0" w:space="0" w:color="auto"/>
                    <w:bottom w:val="none" w:sz="0" w:space="0" w:color="auto"/>
                    <w:right w:val="none" w:sz="0" w:space="0" w:color="auto"/>
                  </w:divBdr>
                </w:div>
                <w:div w:id="1485052884">
                  <w:marLeft w:val="0"/>
                  <w:marRight w:val="0"/>
                  <w:marTop w:val="0"/>
                  <w:marBottom w:val="0"/>
                  <w:divBdr>
                    <w:top w:val="none" w:sz="0" w:space="0" w:color="auto"/>
                    <w:left w:val="none" w:sz="0" w:space="0" w:color="auto"/>
                    <w:bottom w:val="none" w:sz="0" w:space="0" w:color="auto"/>
                    <w:right w:val="none" w:sz="0" w:space="0" w:color="auto"/>
                  </w:divBdr>
                </w:div>
                <w:div w:id="1539316452">
                  <w:marLeft w:val="0"/>
                  <w:marRight w:val="0"/>
                  <w:marTop w:val="0"/>
                  <w:marBottom w:val="0"/>
                  <w:divBdr>
                    <w:top w:val="none" w:sz="0" w:space="0" w:color="auto"/>
                    <w:left w:val="none" w:sz="0" w:space="0" w:color="auto"/>
                    <w:bottom w:val="none" w:sz="0" w:space="0" w:color="auto"/>
                    <w:right w:val="none" w:sz="0" w:space="0" w:color="auto"/>
                  </w:divBdr>
                </w:div>
                <w:div w:id="1563562091">
                  <w:marLeft w:val="0"/>
                  <w:marRight w:val="0"/>
                  <w:marTop w:val="0"/>
                  <w:marBottom w:val="0"/>
                  <w:divBdr>
                    <w:top w:val="none" w:sz="0" w:space="0" w:color="auto"/>
                    <w:left w:val="none" w:sz="0" w:space="0" w:color="auto"/>
                    <w:bottom w:val="none" w:sz="0" w:space="0" w:color="auto"/>
                    <w:right w:val="none" w:sz="0" w:space="0" w:color="auto"/>
                  </w:divBdr>
                </w:div>
                <w:div w:id="1564489169">
                  <w:marLeft w:val="0"/>
                  <w:marRight w:val="0"/>
                  <w:marTop w:val="0"/>
                  <w:marBottom w:val="0"/>
                  <w:divBdr>
                    <w:top w:val="none" w:sz="0" w:space="0" w:color="auto"/>
                    <w:left w:val="none" w:sz="0" w:space="0" w:color="auto"/>
                    <w:bottom w:val="none" w:sz="0" w:space="0" w:color="auto"/>
                    <w:right w:val="none" w:sz="0" w:space="0" w:color="auto"/>
                  </w:divBdr>
                </w:div>
                <w:div w:id="1569657810">
                  <w:marLeft w:val="0"/>
                  <w:marRight w:val="0"/>
                  <w:marTop w:val="0"/>
                  <w:marBottom w:val="0"/>
                  <w:divBdr>
                    <w:top w:val="none" w:sz="0" w:space="0" w:color="auto"/>
                    <w:left w:val="none" w:sz="0" w:space="0" w:color="auto"/>
                    <w:bottom w:val="none" w:sz="0" w:space="0" w:color="auto"/>
                    <w:right w:val="none" w:sz="0" w:space="0" w:color="auto"/>
                  </w:divBdr>
                </w:div>
                <w:div w:id="1618675691">
                  <w:marLeft w:val="0"/>
                  <w:marRight w:val="0"/>
                  <w:marTop w:val="0"/>
                  <w:marBottom w:val="0"/>
                  <w:divBdr>
                    <w:top w:val="none" w:sz="0" w:space="0" w:color="auto"/>
                    <w:left w:val="none" w:sz="0" w:space="0" w:color="auto"/>
                    <w:bottom w:val="none" w:sz="0" w:space="0" w:color="auto"/>
                    <w:right w:val="none" w:sz="0" w:space="0" w:color="auto"/>
                  </w:divBdr>
                </w:div>
                <w:div w:id="1625115082">
                  <w:marLeft w:val="0"/>
                  <w:marRight w:val="0"/>
                  <w:marTop w:val="0"/>
                  <w:marBottom w:val="0"/>
                  <w:divBdr>
                    <w:top w:val="none" w:sz="0" w:space="0" w:color="auto"/>
                    <w:left w:val="none" w:sz="0" w:space="0" w:color="auto"/>
                    <w:bottom w:val="none" w:sz="0" w:space="0" w:color="auto"/>
                    <w:right w:val="none" w:sz="0" w:space="0" w:color="auto"/>
                  </w:divBdr>
                </w:div>
                <w:div w:id="1640722395">
                  <w:marLeft w:val="0"/>
                  <w:marRight w:val="0"/>
                  <w:marTop w:val="0"/>
                  <w:marBottom w:val="0"/>
                  <w:divBdr>
                    <w:top w:val="none" w:sz="0" w:space="0" w:color="auto"/>
                    <w:left w:val="none" w:sz="0" w:space="0" w:color="auto"/>
                    <w:bottom w:val="none" w:sz="0" w:space="0" w:color="auto"/>
                    <w:right w:val="none" w:sz="0" w:space="0" w:color="auto"/>
                  </w:divBdr>
                </w:div>
                <w:div w:id="1658924367">
                  <w:marLeft w:val="0"/>
                  <w:marRight w:val="0"/>
                  <w:marTop w:val="0"/>
                  <w:marBottom w:val="0"/>
                  <w:divBdr>
                    <w:top w:val="none" w:sz="0" w:space="0" w:color="auto"/>
                    <w:left w:val="none" w:sz="0" w:space="0" w:color="auto"/>
                    <w:bottom w:val="none" w:sz="0" w:space="0" w:color="auto"/>
                    <w:right w:val="none" w:sz="0" w:space="0" w:color="auto"/>
                  </w:divBdr>
                </w:div>
                <w:div w:id="1675111550">
                  <w:marLeft w:val="0"/>
                  <w:marRight w:val="0"/>
                  <w:marTop w:val="0"/>
                  <w:marBottom w:val="0"/>
                  <w:divBdr>
                    <w:top w:val="none" w:sz="0" w:space="0" w:color="auto"/>
                    <w:left w:val="none" w:sz="0" w:space="0" w:color="auto"/>
                    <w:bottom w:val="none" w:sz="0" w:space="0" w:color="auto"/>
                    <w:right w:val="none" w:sz="0" w:space="0" w:color="auto"/>
                  </w:divBdr>
                </w:div>
                <w:div w:id="1679038376">
                  <w:marLeft w:val="0"/>
                  <w:marRight w:val="0"/>
                  <w:marTop w:val="0"/>
                  <w:marBottom w:val="0"/>
                  <w:divBdr>
                    <w:top w:val="none" w:sz="0" w:space="0" w:color="auto"/>
                    <w:left w:val="none" w:sz="0" w:space="0" w:color="auto"/>
                    <w:bottom w:val="none" w:sz="0" w:space="0" w:color="auto"/>
                    <w:right w:val="none" w:sz="0" w:space="0" w:color="auto"/>
                  </w:divBdr>
                </w:div>
                <w:div w:id="1683777672">
                  <w:marLeft w:val="0"/>
                  <w:marRight w:val="0"/>
                  <w:marTop w:val="0"/>
                  <w:marBottom w:val="0"/>
                  <w:divBdr>
                    <w:top w:val="none" w:sz="0" w:space="0" w:color="auto"/>
                    <w:left w:val="none" w:sz="0" w:space="0" w:color="auto"/>
                    <w:bottom w:val="none" w:sz="0" w:space="0" w:color="auto"/>
                    <w:right w:val="none" w:sz="0" w:space="0" w:color="auto"/>
                  </w:divBdr>
                </w:div>
                <w:div w:id="1798445707">
                  <w:marLeft w:val="0"/>
                  <w:marRight w:val="0"/>
                  <w:marTop w:val="0"/>
                  <w:marBottom w:val="0"/>
                  <w:divBdr>
                    <w:top w:val="none" w:sz="0" w:space="0" w:color="auto"/>
                    <w:left w:val="none" w:sz="0" w:space="0" w:color="auto"/>
                    <w:bottom w:val="none" w:sz="0" w:space="0" w:color="auto"/>
                    <w:right w:val="none" w:sz="0" w:space="0" w:color="auto"/>
                  </w:divBdr>
                </w:div>
                <w:div w:id="1842306038">
                  <w:marLeft w:val="0"/>
                  <w:marRight w:val="0"/>
                  <w:marTop w:val="0"/>
                  <w:marBottom w:val="0"/>
                  <w:divBdr>
                    <w:top w:val="none" w:sz="0" w:space="0" w:color="auto"/>
                    <w:left w:val="none" w:sz="0" w:space="0" w:color="auto"/>
                    <w:bottom w:val="none" w:sz="0" w:space="0" w:color="auto"/>
                    <w:right w:val="none" w:sz="0" w:space="0" w:color="auto"/>
                  </w:divBdr>
                </w:div>
                <w:div w:id="1862470356">
                  <w:marLeft w:val="0"/>
                  <w:marRight w:val="0"/>
                  <w:marTop w:val="0"/>
                  <w:marBottom w:val="0"/>
                  <w:divBdr>
                    <w:top w:val="none" w:sz="0" w:space="0" w:color="auto"/>
                    <w:left w:val="none" w:sz="0" w:space="0" w:color="auto"/>
                    <w:bottom w:val="none" w:sz="0" w:space="0" w:color="auto"/>
                    <w:right w:val="none" w:sz="0" w:space="0" w:color="auto"/>
                  </w:divBdr>
                </w:div>
                <w:div w:id="1869679312">
                  <w:marLeft w:val="0"/>
                  <w:marRight w:val="0"/>
                  <w:marTop w:val="0"/>
                  <w:marBottom w:val="0"/>
                  <w:divBdr>
                    <w:top w:val="none" w:sz="0" w:space="0" w:color="auto"/>
                    <w:left w:val="none" w:sz="0" w:space="0" w:color="auto"/>
                    <w:bottom w:val="none" w:sz="0" w:space="0" w:color="auto"/>
                    <w:right w:val="none" w:sz="0" w:space="0" w:color="auto"/>
                  </w:divBdr>
                </w:div>
                <w:div w:id="1957979601">
                  <w:marLeft w:val="0"/>
                  <w:marRight w:val="0"/>
                  <w:marTop w:val="0"/>
                  <w:marBottom w:val="0"/>
                  <w:divBdr>
                    <w:top w:val="none" w:sz="0" w:space="0" w:color="auto"/>
                    <w:left w:val="none" w:sz="0" w:space="0" w:color="auto"/>
                    <w:bottom w:val="none" w:sz="0" w:space="0" w:color="auto"/>
                    <w:right w:val="none" w:sz="0" w:space="0" w:color="auto"/>
                  </w:divBdr>
                </w:div>
                <w:div w:id="209809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mailto:vanessa.leigh@milieu.b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ana.gomez@milieu.b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iip.gov.mt/agents-list/"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ma.psaila@milieu.be" TargetMode="External"/><Relationship Id="rId5" Type="http://schemas.openxmlformats.org/officeDocument/2006/relationships/webSettings" Target="webSettings.xml"/><Relationship Id="rId15" Type="http://schemas.openxmlformats.org/officeDocument/2006/relationships/hyperlink" Target="https://www.maltaresidencevisaprogramme.com" TargetMode="Externa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milieu.be/"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3" Type="http://schemas.openxmlformats.org/officeDocument/2006/relationships/hyperlink" Target="https://www.timesofmalta.com/articles/view/20180329/local/residence-agencies-split-into-three.674864" TargetMode="External"/><Relationship Id="rId18" Type="http://schemas.openxmlformats.org/officeDocument/2006/relationships/hyperlink" Target="http://www.justiceservices.gov.mt/DownloadDocument.aspx?app=lom&amp;itemid=11643&amp;l=1" TargetMode="External"/><Relationship Id="rId26" Type="http://schemas.openxmlformats.org/officeDocument/2006/relationships/hyperlink" Target="https://www.maltaresidencevisaprogramme.com" TargetMode="External"/><Relationship Id="rId39" Type="http://schemas.openxmlformats.org/officeDocument/2006/relationships/hyperlink" Target="https://economy.gov.mt/en/globalresidence/Pages/Article-by-Finance-Malta.aspx" TargetMode="External"/><Relationship Id="rId21" Type="http://schemas.openxmlformats.org/officeDocument/2006/relationships/hyperlink" Target="http://www.justiceservices.gov.mt/DownloadDocument.aspx?app=lom&amp;itemid=12004&amp;l=1" TargetMode="External"/><Relationship Id="rId34" Type="http://schemas.openxmlformats.org/officeDocument/2006/relationships/hyperlink" Target="https://cfr.gov.mt/en/inlandrevenue/itu/Documents/grp_guidelines.pdf" TargetMode="External"/><Relationship Id="rId42" Type="http://schemas.openxmlformats.org/officeDocument/2006/relationships/hyperlink" Target="https://cfr.gov.mt/en/inlandrevenue/itu/Documents/grp_form_application.pdf" TargetMode="External"/><Relationship Id="rId47" Type="http://schemas.openxmlformats.org/officeDocument/2006/relationships/hyperlink" Target="https://identitymalta.com/wp-content/uploads/2016/05/FAQ-V5.0.pdf" TargetMode="External"/><Relationship Id="rId50" Type="http://schemas.openxmlformats.org/officeDocument/2006/relationships/hyperlink" Target="http://eur-lex.europa.eu/legal-content/EN/TXT/PDF/?uri=CELEX:32011L0098&amp;from=EN" TargetMode="External"/><Relationship Id="rId55" Type="http://schemas.openxmlformats.org/officeDocument/2006/relationships/hyperlink" Target="https://economy.gov.mt/en/globalresidence/Pages/home.aspx" TargetMode="External"/><Relationship Id="rId7" Type="http://schemas.openxmlformats.org/officeDocument/2006/relationships/hyperlink" Target="http://www.justiceservices.gov.mt/DownloadDocument.aspx?app=lom&amp;itemid=12141&amp;l=1" TargetMode="External"/><Relationship Id="rId2" Type="http://schemas.openxmlformats.org/officeDocument/2006/relationships/hyperlink" Target="http://www.justiceservices.gov.mt/DownloadDocument.aspx?app=lom&amp;itemid=8722&amp;l=1" TargetMode="External"/><Relationship Id="rId16" Type="http://schemas.openxmlformats.org/officeDocument/2006/relationships/hyperlink" Target="http://www.justiceservices.gov.mt/DownloadDocument.aspx?app=lom&amp;itemid=8658&amp;l=1" TargetMode="External"/><Relationship Id="rId29" Type="http://schemas.openxmlformats.org/officeDocument/2006/relationships/hyperlink" Target="https://identitymalta.com/wp-content/uploads/2016/05/FAQ-V5.0.pdf" TargetMode="External"/><Relationship Id="rId11" Type="http://schemas.openxmlformats.org/officeDocument/2006/relationships/hyperlink" Target="http://www.justiceservices.gov.mt/DownloadDocument.aspx?app=lom&amp;itemid=12096&amp;l=1" TargetMode="External"/><Relationship Id="rId24" Type="http://schemas.openxmlformats.org/officeDocument/2006/relationships/hyperlink" Target="https://cfr.gov.mt/en/inlandrevenue/itu/Documents/grp_questionnaire.doc" TargetMode="External"/><Relationship Id="rId32" Type="http://schemas.openxmlformats.org/officeDocument/2006/relationships/hyperlink" Target="http://www.justiceservices.gov.mt/DownloadDocument.aspx?app=lom&amp;itemid=8879&amp;l=1" TargetMode="External"/><Relationship Id="rId37" Type="http://schemas.openxmlformats.org/officeDocument/2006/relationships/hyperlink" Target="https://identitymalta.com/wp-content/uploads/2016/05/FAQ-V5.0.pdf" TargetMode="External"/><Relationship Id="rId40" Type="http://schemas.openxmlformats.org/officeDocument/2006/relationships/hyperlink" Target="https://identitymalta.com/wp-content/uploads/2014/07/CEA-Form-K.pdf" TargetMode="External"/><Relationship Id="rId45" Type="http://schemas.openxmlformats.org/officeDocument/2006/relationships/hyperlink" Target="https://cfr.gov.mt/en/inlandrevenue/itu/Documents/grp_guidelines.pdf" TargetMode="External"/><Relationship Id="rId53" Type="http://schemas.openxmlformats.org/officeDocument/2006/relationships/hyperlink" Target="http://act.com.mt/media/images/active/downloads/Comparative%20Analysis_inc.%20MRVP_Final.pdf" TargetMode="External"/><Relationship Id="rId5" Type="http://schemas.openxmlformats.org/officeDocument/2006/relationships/hyperlink" Target="http://www.justiceservices.gov.mt/DownloadDocument.aspx?app=lom&amp;itemid=8658&amp;l=1" TargetMode="External"/><Relationship Id="rId10" Type="http://schemas.openxmlformats.org/officeDocument/2006/relationships/hyperlink" Target="http://www.justiceservices.gov.mt/DownloadDocument.aspx?app=lom&amp;itemid=12810&amp;l=1" TargetMode="External"/><Relationship Id="rId19" Type="http://schemas.openxmlformats.org/officeDocument/2006/relationships/hyperlink" Target="http://www.justiceservices.gov.mt/DownloadDocument.aspx?app=lom&amp;itemid=11761&amp;l=1" TargetMode="External"/><Relationship Id="rId31" Type="http://schemas.openxmlformats.org/officeDocument/2006/relationships/hyperlink" Target="https://cfr.gov.mt/en/inlandrevenue/itu/Documents/hnwi_guide_arm.pdf" TargetMode="External"/><Relationship Id="rId44" Type="http://schemas.openxmlformats.org/officeDocument/2006/relationships/hyperlink" Target="https://cfr.gov.mt/en/inlandrevenue/itu/Documents/grp_questionnaire.doc" TargetMode="External"/><Relationship Id="rId52" Type="http://schemas.openxmlformats.org/officeDocument/2006/relationships/hyperlink" Target="http://act.com.mt/media/images/active/downloads/Comparative%20Analysis_inc.%20MRVP_Final.pdf" TargetMode="External"/><Relationship Id="rId4" Type="http://schemas.openxmlformats.org/officeDocument/2006/relationships/hyperlink" Target="http://www.justiceservices.gov.mt/DownloadDocument.aspx?app=lom&amp;itemid=12062&amp;l=1" TargetMode="External"/><Relationship Id="rId9" Type="http://schemas.openxmlformats.org/officeDocument/2006/relationships/hyperlink" Target="http://www.justiceservices.gov.mt/DownloadDocument.aspx?app=lom&amp;itemid=12655&amp;l=1" TargetMode="External"/><Relationship Id="rId14" Type="http://schemas.openxmlformats.org/officeDocument/2006/relationships/hyperlink" Target="http://www.justiceservices.gov.mt/DownloadDocument.aspx?app=lom&amp;itemid=8841&amp;l=1" TargetMode="External"/><Relationship Id="rId22" Type="http://schemas.openxmlformats.org/officeDocument/2006/relationships/hyperlink" Target="http://www.justiceservices.gov.mt/DownloadDocument.aspx?app=lom&amp;itemid=12219&amp;l=1" TargetMode="External"/><Relationship Id="rId27" Type="http://schemas.openxmlformats.org/officeDocument/2006/relationships/hyperlink" Target="http://iip.gov.mt/wp-content/uploads/2014/02/Malta-IIP-Code-of-Conduct-2.pdf" TargetMode="External"/><Relationship Id="rId30" Type="http://schemas.openxmlformats.org/officeDocument/2006/relationships/hyperlink" Target="http://www.discusholdings.com/wp-content/themes/discus/img/certificate.jpg" TargetMode="External"/><Relationship Id="rId35" Type="http://schemas.openxmlformats.org/officeDocument/2006/relationships/hyperlink" Target="https://cfr.gov.mt/en/inlandrevenue/itu/Documents/grp_guidelines.pdf" TargetMode="External"/><Relationship Id="rId43" Type="http://schemas.openxmlformats.org/officeDocument/2006/relationships/hyperlink" Target="https://cfr.gov.mt/en/inlandrevenue/itu/Documents/grp_form_application.pdf" TargetMode="External"/><Relationship Id="rId48" Type="http://schemas.openxmlformats.org/officeDocument/2006/relationships/hyperlink" Target="https://jobsplus.gov.mt/employers-mt-MT-en-GB/employing-persons/third-country-nationals" TargetMode="External"/><Relationship Id="rId56" Type="http://schemas.openxmlformats.org/officeDocument/2006/relationships/hyperlink" Target="https://economy.gov.mt/en/globalresidence/Documents/Gozo%20as%20an%20Exclusive%20Residence%20Destination.pdf" TargetMode="External"/><Relationship Id="rId8" Type="http://schemas.openxmlformats.org/officeDocument/2006/relationships/hyperlink" Target="https://identitymalta.com/new/malta-residency-visa-program-mrvp-guidelines-and-applications/" TargetMode="External"/><Relationship Id="rId51" Type="http://schemas.openxmlformats.org/officeDocument/2006/relationships/hyperlink" Target="https://identitymalta.com/new/malta-residency-visa-program-mrvp-guidelines-and-applications/" TargetMode="External"/><Relationship Id="rId3" Type="http://schemas.openxmlformats.org/officeDocument/2006/relationships/hyperlink" Target="https://identitymalta.com/wp-content/uploads/2016/05/FAQ-V5.0.pdf" TargetMode="External"/><Relationship Id="rId12" Type="http://schemas.openxmlformats.org/officeDocument/2006/relationships/hyperlink" Target="http://justiceservices.gov.mt/DownloadDocument.aspx?app=lp&amp;itemid=28992&amp;l=1" TargetMode="External"/><Relationship Id="rId17" Type="http://schemas.openxmlformats.org/officeDocument/2006/relationships/hyperlink" Target="http://www.justiceservices.gov.mt/DownloadDocument.aspx?app=lom&amp;itemid=9386&amp;l=1" TargetMode="External"/><Relationship Id="rId25" Type="http://schemas.openxmlformats.org/officeDocument/2006/relationships/hyperlink" Target="https://cfr.gov.mt/en/inlandrevenue/itu/Documents/grp_guidelines.pdf" TargetMode="External"/><Relationship Id="rId33" Type="http://schemas.openxmlformats.org/officeDocument/2006/relationships/hyperlink" Target="https://identitymalta.com/wp-content/uploads/2016/05/FAQ-V5.0.pdf" TargetMode="External"/><Relationship Id="rId38" Type="http://schemas.openxmlformats.org/officeDocument/2006/relationships/hyperlink" Target="https://economy.gov.mt/en/globalresidence/Pages/Article-by-Finance-Malta.aspx" TargetMode="External"/><Relationship Id="rId46" Type="http://schemas.openxmlformats.org/officeDocument/2006/relationships/hyperlink" Target="https://identitymalta.com/wp-content/uploads/2016/05/FAQ-V5.0.pdf" TargetMode="External"/><Relationship Id="rId20" Type="http://schemas.openxmlformats.org/officeDocument/2006/relationships/hyperlink" Target="http://www.justiceservices.gov.mt/DownloadDocument.aspx?app=lom&amp;itemid=11939&amp;l=1" TargetMode="External"/><Relationship Id="rId41" Type="http://schemas.openxmlformats.org/officeDocument/2006/relationships/hyperlink" Target="https://identitymalta.com/wp-content/uploads/2016/05/FAQ-V5.0.pdf" TargetMode="External"/><Relationship Id="rId54" Type="http://schemas.openxmlformats.org/officeDocument/2006/relationships/hyperlink" Target="https://economy.gov.mt/en/globalresidence/Pages/home.aspx" TargetMode="External"/><Relationship Id="rId1" Type="http://schemas.openxmlformats.org/officeDocument/2006/relationships/hyperlink" Target="http://www.justiceservices.gov.mt/DownloadDocument.aspx?app=lom&amp;itemid=12397&amp;l=1" TargetMode="External"/><Relationship Id="rId6" Type="http://schemas.openxmlformats.org/officeDocument/2006/relationships/hyperlink" Target="http://www.justiceservices.gov.mt/DownloadDocument.aspx?app=lom&amp;itemid=9559&amp;l=1" TargetMode="External"/><Relationship Id="rId15" Type="http://schemas.openxmlformats.org/officeDocument/2006/relationships/hyperlink" Target="http://www.justiceservices.gov.mt/DownloadDocument.aspx?app=lom&amp;itemid=8872&amp;l=1" TargetMode="External"/><Relationship Id="rId23" Type="http://schemas.openxmlformats.org/officeDocument/2006/relationships/hyperlink" Target="https://cfr.gov.mt/en/inlandrevenue/itu/Documents/grp_form_application.pdf" TargetMode="External"/><Relationship Id="rId28" Type="http://schemas.openxmlformats.org/officeDocument/2006/relationships/hyperlink" Target="http://iip.gov.mt/wp-content/uploads/2014/02/Malta-IIP-Code-of-Conduct-2.pdf" TargetMode="External"/><Relationship Id="rId36" Type="http://schemas.openxmlformats.org/officeDocument/2006/relationships/hyperlink" Target="https://cfr.gov.mt/en/inlandrevenue/itu/Documents/grp_guidelines.pdf" TargetMode="External"/><Relationship Id="rId49" Type="http://schemas.openxmlformats.org/officeDocument/2006/relationships/hyperlink" Target="https://identitymalta.com/wp-content/uploads/2016/05/FAQ-V5.0.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M:\Administration\Templates\M%20Report%20Template.dotx"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FA1E0F-CA6F-0B4D-8865-247C458029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M:\Administration\Templates\M Report Template.dotx</Template>
  <TotalTime>0</TotalTime>
  <Pages>39</Pages>
  <Words>13880</Words>
  <Characters>79120</Characters>
  <Application>Microsoft Office Word</Application>
  <DocSecurity>0</DocSecurity>
  <Lines>659</Lines>
  <Paragraphs>185</Paragraphs>
  <ScaleCrop>false</ScaleCrop>
  <HeadingPairs>
    <vt:vector size="8" baseType="variant">
      <vt:variant>
        <vt:lpstr>Title</vt:lpstr>
      </vt:variant>
      <vt:variant>
        <vt:i4>1</vt:i4>
      </vt:variant>
      <vt:variant>
        <vt:lpstr>Titel</vt:lpstr>
      </vt:variant>
      <vt:variant>
        <vt:i4>1</vt:i4>
      </vt:variant>
      <vt:variant>
        <vt:lpstr>Заглавие</vt:lpstr>
      </vt:variant>
      <vt:variant>
        <vt:i4>1</vt:i4>
      </vt:variant>
      <vt:variant>
        <vt:lpstr>Заглавия</vt:lpstr>
      </vt:variant>
      <vt:variant>
        <vt:i4>11</vt:i4>
      </vt:variant>
    </vt:vector>
  </HeadingPairs>
  <TitlesOfParts>
    <vt:vector size="14" baseType="lpstr">
      <vt:lpstr>1</vt:lpstr>
      <vt:lpstr>1</vt:lpstr>
      <vt:lpstr>1</vt:lpstr>
      <vt:lpstr/>
      <vt:lpstr>Summary Datasheet </vt:lpstr>
      <vt:lpstr/>
      <vt:lpstr>ABBREVIATIONS USED</vt:lpstr>
      <vt:lpstr>Introduction</vt:lpstr>
      <vt:lpstr>    OVERVIEW OF THE LEGAL FRAMEWORK IN bulgaria</vt:lpstr>
      <vt:lpstr>    FRAMEWORK FOR TRANSPOSITION &amp; IMPLEMENTATION OF DIRECTIVE 2012/18/EU IN bulgaria</vt:lpstr>
      <vt:lpstr>        General distribution of competences/Competent authorities</vt:lpstr>
      <vt:lpstr>        Transposition context with regard to Directive 2012/18/EU  </vt:lpstr>
      <vt:lpstr>LEGAL ANALYSIS OF THE TRANSPOSING MEASURES FOR DIRECTIVE 2012/18/EU</vt:lpstr>
      <vt:lpstr>CONCLUSIONS</vt:lpstr>
    </vt:vector>
  </TitlesOfParts>
  <Company>Milieu</Company>
  <LinksUpToDate>false</LinksUpToDate>
  <CharactersWithSpaces>92815</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BOSCHER Marie (HOME)</dc:creator>
  <cp:keywords/>
  <dc:description/>
  <cp:lastModifiedBy>Emma</cp:lastModifiedBy>
  <cp:revision>2</cp:revision>
  <cp:lastPrinted>2018-02-06T16:29:00Z</cp:lastPrinted>
  <dcterms:created xsi:type="dcterms:W3CDTF">2018-06-26T06:43:00Z</dcterms:created>
  <dcterms:modified xsi:type="dcterms:W3CDTF">2018-06-26T06:43:00Z</dcterms:modified>
</cp:coreProperties>
</file>